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val="0"/>
        <w:suppressLineNumbers w:val="0"/>
        <w:spacing w:before="0" w:beforeAutospacing="0" w:after="0" w:afterAutospacing="0"/>
        <w:ind w:left="0" w:leftChars="0" w:right="0" w:firstLine="0" w:firstLineChars="0"/>
        <w:jc w:val="both"/>
        <w:rPr>
          <w:rFonts w:hint="eastAsia" w:eastAsia="宋体" w:cs="Times New Roman"/>
          <w:kern w:val="2"/>
          <w:sz w:val="21"/>
          <w:szCs w:val="24"/>
          <w:lang w:val="en-US" w:eastAsia="zh-CN" w:bidi="ar"/>
        </w:rPr>
      </w:pPr>
      <w:r>
        <w:rPr>
          <w:rFonts w:hint="eastAsia" w:eastAsia="宋体" w:cs="Times New Roman"/>
          <w:kern w:val="2"/>
          <w:sz w:val="21"/>
          <w:szCs w:val="24"/>
          <w:lang w:val="en-US" w:eastAsia="zh-CN" w:bidi="ar"/>
        </w:rPr>
        <w:t xml:space="preserve">   </w:t>
      </w:r>
    </w:p>
    <w:p>
      <w:pPr>
        <w:spacing w:line="360" w:lineRule="auto"/>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eastAsia="zh-CN"/>
        </w:rPr>
        <w:t>浙江铭泽</w:t>
      </w:r>
      <w:r>
        <w:rPr>
          <w:rFonts w:hint="eastAsia" w:asciiTheme="minorEastAsia" w:hAnsiTheme="minorEastAsia" w:eastAsiaTheme="minorEastAsia" w:cstheme="minorEastAsia"/>
          <w:sz w:val="28"/>
          <w:szCs w:val="28"/>
          <w:lang w:val="en-US" w:eastAsia="zh-CN"/>
        </w:rPr>
        <w:t>农牧发展</w:t>
      </w:r>
      <w:r>
        <w:rPr>
          <w:rFonts w:hint="eastAsia" w:asciiTheme="minorEastAsia" w:hAnsiTheme="minorEastAsia" w:eastAsiaTheme="minorEastAsia" w:cstheme="minorEastAsia"/>
          <w:sz w:val="28"/>
          <w:szCs w:val="28"/>
          <w:lang w:eastAsia="zh-CN"/>
        </w:rPr>
        <w:t>有限公司衢江区铭泽公司肉牛养殖项目（</w:t>
      </w:r>
      <w:r>
        <w:rPr>
          <w:rFonts w:hint="eastAsia" w:asciiTheme="minorEastAsia" w:hAnsiTheme="minorEastAsia" w:eastAsiaTheme="minorEastAsia" w:cstheme="minorEastAsia"/>
          <w:sz w:val="28"/>
          <w:szCs w:val="28"/>
          <w:lang w:val="en-US" w:eastAsia="zh-CN"/>
        </w:rPr>
        <w:t>一期</w:t>
      </w:r>
      <w:r>
        <w:rPr>
          <w:rFonts w:hint="eastAsia" w:asciiTheme="minorEastAsia" w:hAnsiTheme="minorEastAsia" w:cstheme="minorEastAsia"/>
          <w:sz w:val="28"/>
          <w:szCs w:val="28"/>
          <w:lang w:val="en-US" w:eastAsia="zh-CN"/>
        </w:rPr>
        <w:t>）</w:t>
      </w:r>
    </w:p>
    <w:p>
      <w:pPr>
        <w:spacing w:line="360" w:lineRule="auto"/>
        <w:ind w:firstLine="2800" w:firstLineChars="1000"/>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竣工环境保护验收公示</w:t>
      </w:r>
    </w:p>
    <w:p>
      <w:pPr>
        <w:spacing w:line="360" w:lineRule="auto"/>
        <w:ind w:firstLine="480" w:firstLineChars="200"/>
        <w:rPr>
          <w:rFonts w:hint="eastAsia" w:asciiTheme="minorEastAsia" w:hAnsiTheme="minorEastAsia" w:eastAsiaTheme="minorEastAsia" w:cstheme="minorEastAsia"/>
          <w:sz w:val="24"/>
          <w:szCs w:val="24"/>
          <w:lang w:val="en-US" w:eastAsia="zh-CN"/>
        </w:rPr>
      </w:pPr>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根据《国务院关于修改&lt;建设项目竣工环境保护管理条例&gt;的决定》（国务院令第682号），以及环保部《关于发布&lt;建设项目竣工环境保护验收暂行办法&gt;的公告》（国环规环评[2017]4号），现将</w:t>
      </w:r>
      <w:r>
        <w:rPr>
          <w:rFonts w:hint="eastAsia" w:asciiTheme="minorEastAsia" w:hAnsiTheme="minorEastAsia" w:eastAsiaTheme="minorEastAsia" w:cstheme="minorEastAsia"/>
          <w:sz w:val="24"/>
          <w:szCs w:val="24"/>
          <w:lang w:eastAsia="zh-CN"/>
        </w:rPr>
        <w:t>浙江铭泽</w:t>
      </w:r>
      <w:r>
        <w:rPr>
          <w:rFonts w:hint="eastAsia" w:asciiTheme="minorEastAsia" w:hAnsiTheme="minorEastAsia" w:eastAsiaTheme="minorEastAsia" w:cstheme="minorEastAsia"/>
          <w:sz w:val="24"/>
          <w:szCs w:val="24"/>
          <w:lang w:val="en-US" w:eastAsia="zh-CN"/>
        </w:rPr>
        <w:t>农牧发展</w:t>
      </w:r>
      <w:r>
        <w:rPr>
          <w:rFonts w:hint="eastAsia" w:asciiTheme="minorEastAsia" w:hAnsiTheme="minorEastAsia" w:eastAsiaTheme="minorEastAsia" w:cstheme="minorEastAsia"/>
          <w:sz w:val="24"/>
          <w:szCs w:val="24"/>
          <w:lang w:eastAsia="zh-CN"/>
        </w:rPr>
        <w:t>有限公司衢江区铭泽公司肉牛养殖项目（</w:t>
      </w:r>
      <w:r>
        <w:rPr>
          <w:rFonts w:hint="eastAsia" w:asciiTheme="minorEastAsia" w:hAnsiTheme="minorEastAsia" w:eastAsiaTheme="minorEastAsia" w:cstheme="minorEastAsia"/>
          <w:sz w:val="24"/>
          <w:szCs w:val="24"/>
          <w:lang w:val="en-US" w:eastAsia="zh-CN"/>
        </w:rPr>
        <w:t>一期</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竣工环境保护验收报告(包括验收监测报告、验收意见、其他需要说明的事项)公示如下：</w:t>
      </w:r>
    </w:p>
    <w:p>
      <w:pPr>
        <w:spacing w:line="360" w:lineRule="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项目名称：</w:t>
      </w:r>
      <w:r>
        <w:rPr>
          <w:rFonts w:hint="eastAsia" w:asciiTheme="minorEastAsia" w:hAnsiTheme="minorEastAsia" w:eastAsiaTheme="minorEastAsia" w:cstheme="minorEastAsia"/>
          <w:sz w:val="24"/>
          <w:szCs w:val="24"/>
          <w:lang w:eastAsia="zh-CN"/>
        </w:rPr>
        <w:t>浙江铭泽</w:t>
      </w:r>
      <w:r>
        <w:rPr>
          <w:rFonts w:hint="eastAsia" w:asciiTheme="minorEastAsia" w:hAnsiTheme="minorEastAsia" w:eastAsiaTheme="minorEastAsia" w:cstheme="minorEastAsia"/>
          <w:sz w:val="24"/>
          <w:szCs w:val="24"/>
          <w:lang w:val="en-US" w:eastAsia="zh-CN"/>
        </w:rPr>
        <w:t>农牧发展</w:t>
      </w:r>
      <w:r>
        <w:rPr>
          <w:rFonts w:hint="eastAsia" w:asciiTheme="minorEastAsia" w:hAnsiTheme="minorEastAsia" w:eastAsiaTheme="minorEastAsia" w:cstheme="minorEastAsia"/>
          <w:sz w:val="24"/>
          <w:szCs w:val="24"/>
          <w:lang w:eastAsia="zh-CN"/>
        </w:rPr>
        <w:t>有限公司衢江区铭泽公司肉牛养殖项目（</w:t>
      </w:r>
      <w:r>
        <w:rPr>
          <w:rFonts w:hint="eastAsia" w:asciiTheme="minorEastAsia" w:hAnsiTheme="minorEastAsia" w:eastAsiaTheme="minorEastAsia" w:cstheme="minorEastAsia"/>
          <w:sz w:val="24"/>
          <w:szCs w:val="24"/>
          <w:lang w:val="en-US" w:eastAsia="zh-CN"/>
        </w:rPr>
        <w:t>一期</w:t>
      </w:r>
      <w:r>
        <w:rPr>
          <w:rFonts w:hint="eastAsia" w:asciiTheme="minorEastAsia" w:hAnsiTheme="minorEastAsia" w:eastAsiaTheme="minorEastAsia" w:cstheme="minorEastAsia"/>
          <w:sz w:val="24"/>
          <w:szCs w:val="24"/>
          <w:lang w:eastAsia="zh-CN"/>
        </w:rPr>
        <w:t>）；</w:t>
      </w:r>
    </w:p>
    <w:p>
      <w:pPr>
        <w:spacing w:line="360" w:lineRule="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地点：衢州市衢江区黄毛畈村黄巴拢附近的山地、林地；</w:t>
      </w:r>
    </w:p>
    <w:p>
      <w:pPr>
        <w:spacing w:line="360" w:lineRule="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建设单位：</w:t>
      </w:r>
      <w:r>
        <w:rPr>
          <w:rFonts w:hint="eastAsia" w:asciiTheme="minorEastAsia" w:hAnsiTheme="minorEastAsia" w:eastAsiaTheme="minorEastAsia" w:cstheme="minorEastAsia"/>
          <w:sz w:val="24"/>
          <w:szCs w:val="24"/>
          <w:lang w:eastAsia="zh-CN"/>
        </w:rPr>
        <w:t>浙江铭泽</w:t>
      </w:r>
      <w:r>
        <w:rPr>
          <w:rFonts w:hint="eastAsia" w:asciiTheme="minorEastAsia" w:hAnsiTheme="minorEastAsia" w:eastAsiaTheme="minorEastAsia" w:cstheme="minorEastAsia"/>
          <w:sz w:val="24"/>
          <w:szCs w:val="24"/>
          <w:lang w:val="en-US" w:eastAsia="zh-CN"/>
        </w:rPr>
        <w:t>农牧发展</w:t>
      </w:r>
      <w:r>
        <w:rPr>
          <w:rFonts w:hint="eastAsia" w:asciiTheme="minorEastAsia" w:hAnsiTheme="minorEastAsia" w:eastAsiaTheme="minorEastAsia" w:cstheme="minorEastAsia"/>
          <w:sz w:val="24"/>
          <w:szCs w:val="24"/>
          <w:lang w:eastAsia="zh-CN"/>
        </w:rPr>
        <w:t>有限公司；</w:t>
      </w:r>
    </w:p>
    <w:p>
      <w:pPr>
        <w:spacing w:line="360" w:lineRule="auto"/>
        <w:ind w:left="0" w:leftChars="0" w:firstLine="0" w:firstLine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建设内容：审批规模新建栏舍27栋，采用封闭式管理，建设标准化肉牛养殖场，建成后形成存栏2000头肉牛，年出栏2000头肉牛的生产规模；一期建设规模年出栏800头肉牛的生产规模；</w:t>
      </w:r>
    </w:p>
    <w:p>
      <w:pPr>
        <w:spacing w:line="360" w:lineRule="auto"/>
        <w:ind w:left="0" w:leftChars="0" w:firstLine="0" w:firstLine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公示时间：2023年11月6日～11月30日（自公示之日起不少于20个工作日）</w:t>
      </w:r>
    </w:p>
    <w:p>
      <w:pPr>
        <w:spacing w:line="360" w:lineRule="auto"/>
        <w:ind w:left="0" w:leftChars="0" w:firstLine="0" w:firstLine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联系人：董女士 </w:t>
      </w:r>
    </w:p>
    <w:p>
      <w:pPr>
        <w:spacing w:line="360" w:lineRule="auto"/>
        <w:ind w:left="0" w:leftChars="0" w:firstLine="0" w:firstLine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联系电话：</w:t>
      </w:r>
      <w:r>
        <w:rPr>
          <w:rFonts w:hint="eastAsia" w:asciiTheme="minorEastAsia" w:hAnsiTheme="minorEastAsia" w:eastAsiaTheme="minorEastAsia" w:cstheme="minorEastAsia"/>
          <w:color w:val="auto"/>
          <w:spacing w:val="0"/>
          <w:position w:val="0"/>
          <w:sz w:val="24"/>
          <w:szCs w:val="24"/>
          <w:shd w:val="clear" w:color="auto" w:fill="auto"/>
        </w:rPr>
        <w:t>13867028791</w:t>
      </w:r>
    </w:p>
    <w:p>
      <w:pPr>
        <w:spacing w:line="360" w:lineRule="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公示期间，对上述公示内容如有异议，请以书面形式反馈，个人须署真实姓名，单位须加盖公章。</w:t>
      </w:r>
    </w:p>
    <w:p>
      <w:pPr>
        <w:keepNext w:val="0"/>
        <w:keepLines w:val="0"/>
        <w:widowControl w:val="0"/>
        <w:suppressLineNumbers w:val="0"/>
        <w:spacing w:before="0" w:beforeAutospacing="0" w:after="0" w:afterAutospacing="0"/>
        <w:ind w:left="0" w:leftChars="0" w:right="0" w:firstLine="0" w:firstLineChars="0"/>
        <w:jc w:val="both"/>
        <w:rPr>
          <w:rFonts w:hint="eastAsia" w:eastAsia="宋体" w:cs="Times New Roman"/>
          <w:kern w:val="2"/>
          <w:sz w:val="21"/>
          <w:szCs w:val="24"/>
          <w:lang w:val="en-US" w:eastAsia="zh-CN" w:bidi="ar"/>
        </w:rPr>
      </w:pPr>
    </w:p>
    <w:p>
      <w:pPr>
        <w:keepNext w:val="0"/>
        <w:keepLines w:val="0"/>
        <w:widowControl w:val="0"/>
        <w:suppressLineNumbers w:val="0"/>
        <w:spacing w:before="0" w:beforeAutospacing="0" w:after="0" w:afterAutospacing="0"/>
        <w:ind w:left="0" w:leftChars="0" w:right="0" w:firstLine="0" w:firstLineChars="0"/>
        <w:jc w:val="both"/>
        <w:rPr>
          <w:rFonts w:hint="eastAsia" w:eastAsia="宋体" w:cs="Times New Roman"/>
          <w:kern w:val="2"/>
          <w:sz w:val="21"/>
          <w:szCs w:val="24"/>
          <w:lang w:val="en-US" w:eastAsia="zh-CN" w:bidi="ar"/>
        </w:rPr>
      </w:pPr>
    </w:p>
    <w:p>
      <w:pPr>
        <w:keepNext w:val="0"/>
        <w:keepLines w:val="0"/>
        <w:widowControl w:val="0"/>
        <w:suppressLineNumbers w:val="0"/>
        <w:spacing w:before="0" w:beforeAutospacing="0" w:after="0" w:afterAutospacing="0"/>
        <w:ind w:left="0" w:leftChars="0" w:right="0" w:firstLine="5280" w:firstLineChars="2200"/>
        <w:jc w:val="both"/>
        <w:rPr>
          <w:rFonts w:hint="default" w:eastAsia="宋体" w:cs="Times New Roman"/>
          <w:kern w:val="2"/>
          <w:sz w:val="24"/>
          <w:szCs w:val="24"/>
          <w:lang w:val="en-US" w:eastAsia="zh-CN" w:bidi="ar"/>
        </w:rPr>
      </w:pPr>
      <w:r>
        <w:rPr>
          <w:rFonts w:hint="eastAsia" w:eastAsia="宋体" w:cs="Times New Roman"/>
          <w:kern w:val="2"/>
          <w:sz w:val="24"/>
          <w:szCs w:val="24"/>
          <w:lang w:val="en-US" w:eastAsia="zh-CN" w:bidi="ar"/>
        </w:rPr>
        <w:t>2023年11月6日</w:t>
      </w:r>
    </w:p>
    <w:p>
      <w:pPr>
        <w:keepNext w:val="0"/>
        <w:keepLines w:val="0"/>
        <w:widowControl w:val="0"/>
        <w:suppressLineNumbers w:val="0"/>
        <w:spacing w:before="0" w:beforeAutospacing="0" w:after="0" w:afterAutospacing="0"/>
        <w:ind w:left="0" w:leftChars="0" w:right="0" w:firstLine="0" w:firstLineChars="0"/>
        <w:jc w:val="both"/>
        <w:rPr>
          <w:rFonts w:hint="eastAsia" w:eastAsia="宋体" w:cs="Times New Roman"/>
          <w:kern w:val="2"/>
          <w:sz w:val="21"/>
          <w:szCs w:val="24"/>
          <w:lang w:val="en-US" w:eastAsia="zh-CN" w:bidi="ar"/>
        </w:rPr>
      </w:pPr>
    </w:p>
    <w:p>
      <w:pPr>
        <w:keepNext w:val="0"/>
        <w:keepLines w:val="0"/>
        <w:widowControl w:val="0"/>
        <w:suppressLineNumbers w:val="0"/>
        <w:spacing w:before="0" w:beforeAutospacing="0" w:after="0" w:afterAutospacing="0"/>
        <w:ind w:left="0" w:leftChars="0" w:right="0" w:firstLine="0" w:firstLineChars="0"/>
        <w:jc w:val="both"/>
        <w:rPr>
          <w:rFonts w:hint="eastAsia" w:eastAsia="宋体" w:cs="Times New Roman"/>
          <w:kern w:val="2"/>
          <w:sz w:val="21"/>
          <w:szCs w:val="24"/>
          <w:lang w:val="en-US" w:eastAsia="zh-CN" w:bidi="ar"/>
        </w:rPr>
      </w:pPr>
    </w:p>
    <w:p>
      <w:pPr>
        <w:keepNext w:val="0"/>
        <w:keepLines w:val="0"/>
        <w:widowControl w:val="0"/>
        <w:suppressLineNumbers w:val="0"/>
        <w:spacing w:before="0" w:beforeAutospacing="0" w:after="0" w:afterAutospacing="0"/>
        <w:ind w:left="0" w:leftChars="0" w:right="0" w:firstLine="0" w:firstLineChars="0"/>
        <w:jc w:val="both"/>
        <w:rPr>
          <w:rFonts w:hint="eastAsia" w:eastAsia="宋体" w:cs="Times New Roman"/>
          <w:kern w:val="2"/>
          <w:sz w:val="21"/>
          <w:szCs w:val="24"/>
          <w:lang w:val="en-US" w:eastAsia="zh-CN" w:bidi="ar"/>
        </w:rPr>
      </w:pPr>
    </w:p>
    <w:p>
      <w:pPr>
        <w:keepNext w:val="0"/>
        <w:keepLines w:val="0"/>
        <w:widowControl w:val="0"/>
        <w:suppressLineNumbers w:val="0"/>
        <w:spacing w:before="0" w:beforeAutospacing="0" w:after="0" w:afterAutospacing="0"/>
        <w:ind w:left="0" w:leftChars="0" w:right="0" w:firstLine="0" w:firstLineChars="0"/>
        <w:jc w:val="both"/>
        <w:rPr>
          <w:rFonts w:hint="eastAsia" w:eastAsia="宋体" w:cs="Times New Roman"/>
          <w:kern w:val="2"/>
          <w:sz w:val="21"/>
          <w:szCs w:val="24"/>
          <w:lang w:val="en-US" w:eastAsia="zh-CN" w:bidi="ar"/>
        </w:rPr>
      </w:pPr>
    </w:p>
    <w:p>
      <w:pPr>
        <w:keepNext w:val="0"/>
        <w:keepLines w:val="0"/>
        <w:widowControl w:val="0"/>
        <w:suppressLineNumbers w:val="0"/>
        <w:spacing w:before="0" w:beforeAutospacing="0" w:after="0" w:afterAutospacing="0"/>
        <w:ind w:left="0" w:leftChars="0" w:right="0" w:firstLine="0" w:firstLineChars="0"/>
        <w:jc w:val="both"/>
        <w:rPr>
          <w:rFonts w:hint="eastAsia" w:eastAsia="宋体" w:cs="Times New Roman"/>
          <w:kern w:val="2"/>
          <w:sz w:val="21"/>
          <w:szCs w:val="24"/>
          <w:lang w:val="en-US" w:eastAsia="zh-CN" w:bidi="ar"/>
        </w:rPr>
      </w:pPr>
    </w:p>
    <w:p>
      <w:pPr>
        <w:keepNext w:val="0"/>
        <w:keepLines w:val="0"/>
        <w:widowControl w:val="0"/>
        <w:suppressLineNumbers w:val="0"/>
        <w:spacing w:before="0" w:beforeAutospacing="0" w:after="0" w:afterAutospacing="0"/>
        <w:ind w:left="0" w:leftChars="0" w:right="0" w:firstLine="0" w:firstLineChars="0"/>
        <w:jc w:val="both"/>
        <w:rPr>
          <w:rFonts w:hint="eastAsia" w:eastAsia="宋体" w:cs="Times New Roman"/>
          <w:kern w:val="2"/>
          <w:sz w:val="21"/>
          <w:szCs w:val="24"/>
          <w:lang w:val="en-US" w:eastAsia="zh-CN" w:bidi="ar"/>
        </w:rPr>
      </w:pPr>
    </w:p>
    <w:p>
      <w:pPr>
        <w:keepNext w:val="0"/>
        <w:keepLines w:val="0"/>
        <w:widowControl w:val="0"/>
        <w:suppressLineNumbers w:val="0"/>
        <w:spacing w:before="0" w:beforeAutospacing="0" w:after="0" w:afterAutospacing="0"/>
        <w:ind w:left="0" w:leftChars="0" w:right="0" w:firstLine="0" w:firstLineChars="0"/>
        <w:jc w:val="both"/>
        <w:rPr>
          <w:rFonts w:hint="eastAsia" w:eastAsia="宋体" w:cs="Times New Roman"/>
          <w:kern w:val="2"/>
          <w:sz w:val="21"/>
          <w:szCs w:val="24"/>
          <w:lang w:val="en-US" w:eastAsia="zh-CN" w:bidi="ar"/>
        </w:rPr>
      </w:pPr>
    </w:p>
    <w:p>
      <w:pPr>
        <w:keepNext w:val="0"/>
        <w:keepLines w:val="0"/>
        <w:widowControl w:val="0"/>
        <w:suppressLineNumbers w:val="0"/>
        <w:spacing w:before="0" w:beforeAutospacing="0" w:after="0" w:afterAutospacing="0"/>
        <w:ind w:left="0" w:leftChars="0" w:right="0" w:firstLine="0" w:firstLineChars="0"/>
        <w:jc w:val="both"/>
        <w:rPr>
          <w:color w:val="FF0000"/>
          <w:lang w:val="en-US"/>
        </w:rPr>
      </w:pPr>
      <w:r>
        <w:rPr>
          <w:rFonts w:hint="default" w:ascii="Times New Roman" w:hAnsi="Times New Roman" w:eastAsia="宋体" w:cs="Times New Roman"/>
          <w:kern w:val="2"/>
          <w:sz w:val="21"/>
          <w:szCs w:val="24"/>
          <w:lang w:val="en-US" w:eastAsia="zh-CN" w:bidi="ar"/>
        </w:rPr>
        <w:drawing>
          <wp:inline distT="0" distB="0" distL="114300" distR="114300">
            <wp:extent cx="895350" cy="8001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
                    <a:stretch>
                      <a:fillRect/>
                    </a:stretch>
                  </pic:blipFill>
                  <pic:spPr>
                    <a:xfrm>
                      <a:off x="0" y="0"/>
                      <a:ext cx="895350" cy="800100"/>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line="360" w:lineRule="auto"/>
        <w:ind w:left="0" w:leftChars="0" w:right="0" w:firstLine="0" w:firstLineChars="0"/>
        <w:jc w:val="both"/>
        <w:rPr>
          <w:lang w:val="en-US"/>
        </w:rPr>
      </w:pPr>
    </w:p>
    <w:p>
      <w:pPr>
        <w:keepNext w:val="0"/>
        <w:keepLines w:val="0"/>
        <w:widowControl w:val="0"/>
        <w:suppressLineNumbers w:val="0"/>
        <w:spacing w:before="0" w:beforeAutospacing="0" w:after="0" w:afterAutospacing="0" w:line="240" w:lineRule="auto"/>
        <w:ind w:left="720" w:leftChars="300" w:right="0" w:firstLine="0" w:firstLineChars="0"/>
        <w:jc w:val="both"/>
        <w:rPr>
          <w:rFonts w:hint="eastAsia" w:ascii="隶书" w:hAnsi="隶书" w:eastAsia="隶书" w:cs="隶书"/>
          <w:sz w:val="52"/>
          <w:szCs w:val="52"/>
          <w:lang w:val="en-US" w:eastAsia="zh-CN"/>
        </w:rPr>
      </w:pPr>
      <w:bookmarkStart w:id="0" w:name="_Toc137557526"/>
      <w:bookmarkStart w:id="1" w:name="_Toc135411820"/>
      <w:bookmarkStart w:id="2" w:name="_Toc137557527"/>
      <w:bookmarkStart w:id="3" w:name="_Toc135411821"/>
      <w:r>
        <w:rPr>
          <w:rFonts w:hint="eastAsia" w:ascii="隶书" w:hAnsi="隶书" w:eastAsia="隶书" w:cs="隶书"/>
          <w:sz w:val="52"/>
          <w:szCs w:val="52"/>
          <w:lang w:val="en-US" w:eastAsia="zh-CN"/>
        </w:rPr>
        <w:t>浙江铭泽农牧发展有限公司</w:t>
      </w:r>
    </w:p>
    <w:p>
      <w:pPr>
        <w:keepNext w:val="0"/>
        <w:keepLines w:val="0"/>
        <w:widowControl w:val="0"/>
        <w:suppressLineNumbers w:val="0"/>
        <w:spacing w:before="0" w:beforeAutospacing="0" w:after="0" w:afterAutospacing="0" w:line="240" w:lineRule="auto"/>
        <w:ind w:left="0" w:leftChars="0" w:right="0" w:firstLine="520" w:firstLineChars="100"/>
        <w:jc w:val="both"/>
        <w:rPr>
          <w:rFonts w:hint="eastAsia" w:ascii="隶书" w:hAnsi="隶书" w:eastAsia="隶书" w:cs="隶书"/>
          <w:sz w:val="52"/>
          <w:szCs w:val="52"/>
          <w:lang w:val="en-US" w:eastAsia="zh-CN"/>
        </w:rPr>
      </w:pPr>
      <w:r>
        <w:rPr>
          <w:rFonts w:hint="eastAsia" w:ascii="隶书" w:hAnsi="隶书" w:eastAsia="隶书" w:cs="隶书"/>
          <w:sz w:val="52"/>
          <w:szCs w:val="52"/>
          <w:lang w:val="en-US" w:eastAsia="zh-CN"/>
        </w:rPr>
        <w:t>衢江区铭泽公司肉牛养殖项目</w:t>
      </w:r>
    </w:p>
    <w:p>
      <w:pPr>
        <w:keepNext w:val="0"/>
        <w:keepLines w:val="0"/>
        <w:widowControl w:val="0"/>
        <w:suppressLineNumbers w:val="0"/>
        <w:spacing w:before="0" w:beforeAutospacing="0" w:after="0" w:afterAutospacing="0" w:line="240" w:lineRule="auto"/>
        <w:ind w:left="0" w:leftChars="0" w:right="0" w:firstLine="2600" w:firstLineChars="500"/>
        <w:jc w:val="both"/>
        <w:rPr>
          <w:rFonts w:hint="eastAsia" w:ascii="隶书" w:hAnsi="隶书" w:eastAsia="隶书" w:cs="隶书"/>
          <w:sz w:val="52"/>
          <w:szCs w:val="52"/>
          <w:lang w:val="en-US" w:eastAsia="zh-CN"/>
        </w:rPr>
      </w:pPr>
      <w:r>
        <w:rPr>
          <w:rFonts w:hint="eastAsia" w:ascii="隶书" w:hAnsi="隶书" w:eastAsia="隶书" w:cs="隶书"/>
          <w:sz w:val="52"/>
          <w:szCs w:val="52"/>
          <w:lang w:val="en-US" w:eastAsia="zh-CN"/>
        </w:rPr>
        <w:t>（一期）</w:t>
      </w:r>
    </w:p>
    <w:p>
      <w:pPr>
        <w:keepNext w:val="0"/>
        <w:keepLines w:val="0"/>
        <w:widowControl w:val="0"/>
        <w:suppressLineNumbers w:val="0"/>
        <w:spacing w:before="0" w:beforeAutospacing="0" w:after="0" w:afterAutospacing="0" w:line="240" w:lineRule="auto"/>
        <w:ind w:left="0" w:leftChars="0" w:right="0" w:firstLine="1040" w:firstLineChars="200"/>
        <w:jc w:val="both"/>
        <w:outlineLvl w:val="0"/>
        <w:rPr>
          <w:rFonts w:hint="eastAsia" w:ascii="隶书" w:hAnsi="隶书" w:eastAsia="隶书" w:cs="隶书"/>
          <w:b/>
          <w:bCs/>
          <w:sz w:val="52"/>
          <w:szCs w:val="52"/>
          <w:lang w:val="en-US"/>
        </w:rPr>
      </w:pPr>
      <w:bookmarkStart w:id="4" w:name="_Toc5236"/>
      <w:bookmarkStart w:id="5" w:name="_Toc18596"/>
      <w:r>
        <w:rPr>
          <w:rFonts w:hint="eastAsia" w:ascii="隶书" w:hAnsi="隶书" w:eastAsia="隶书" w:cs="隶书"/>
          <w:sz w:val="52"/>
          <w:szCs w:val="52"/>
          <w:lang w:val="en-US" w:eastAsia="zh-CN"/>
        </w:rPr>
        <w:t>竣工</w:t>
      </w:r>
      <w:bookmarkStart w:id="6" w:name="_Toc1095"/>
      <w:r>
        <w:rPr>
          <w:rFonts w:hint="eastAsia" w:ascii="隶书" w:hAnsi="隶书" w:eastAsia="隶书" w:cs="隶书"/>
          <w:sz w:val="52"/>
          <w:szCs w:val="52"/>
          <w:lang w:val="en-US" w:eastAsia="zh-CN"/>
        </w:rPr>
        <w:t>环境保护验收</w:t>
      </w:r>
      <w:bookmarkEnd w:id="6"/>
      <w:r>
        <w:rPr>
          <w:rFonts w:hint="eastAsia" w:ascii="隶书" w:hAnsi="隶书" w:eastAsia="隶书" w:cs="隶书"/>
          <w:b/>
          <w:bCs/>
          <w:kern w:val="2"/>
          <w:sz w:val="52"/>
          <w:szCs w:val="52"/>
          <w:lang w:val="en-US" w:eastAsia="zh-CN" w:bidi="ar"/>
        </w:rPr>
        <w:t>报告</w:t>
      </w:r>
      <w:bookmarkEnd w:id="4"/>
      <w:bookmarkEnd w:id="5"/>
    </w:p>
    <w:bookmarkEnd w:id="0"/>
    <w:bookmarkEnd w:id="1"/>
    <w:bookmarkEnd w:id="2"/>
    <w:bookmarkEnd w:id="3"/>
    <w:p>
      <w:pPr>
        <w:keepNext w:val="0"/>
        <w:keepLines w:val="0"/>
        <w:widowControl w:val="0"/>
        <w:suppressLineNumbers w:val="0"/>
        <w:spacing w:before="0" w:beforeAutospacing="0" w:after="0" w:afterAutospacing="0" w:line="360" w:lineRule="auto"/>
        <w:ind w:left="0" w:right="0"/>
        <w:jc w:val="center"/>
        <w:rPr>
          <w:sz w:val="44"/>
          <w:szCs w:val="44"/>
          <w:lang w:val="en-US"/>
        </w:rPr>
      </w:pPr>
    </w:p>
    <w:p>
      <w:pPr>
        <w:keepNext w:val="0"/>
        <w:keepLines w:val="0"/>
        <w:widowControl w:val="0"/>
        <w:suppressLineNumbers w:val="0"/>
        <w:spacing w:before="0" w:beforeAutospacing="0" w:after="0" w:afterAutospacing="0" w:line="360" w:lineRule="auto"/>
        <w:ind w:left="0" w:right="0"/>
        <w:jc w:val="center"/>
        <w:rPr>
          <w:lang w:val="en-US"/>
        </w:rPr>
      </w:pPr>
    </w:p>
    <w:p>
      <w:pPr>
        <w:keepNext w:val="0"/>
        <w:keepLines w:val="0"/>
        <w:widowControl w:val="0"/>
        <w:suppressLineNumbers w:val="0"/>
        <w:spacing w:before="0" w:beforeAutospacing="0" w:after="0" w:afterAutospacing="0" w:line="360" w:lineRule="auto"/>
        <w:ind w:left="0" w:right="0"/>
        <w:jc w:val="center"/>
        <w:rPr>
          <w:lang w:val="en-US"/>
        </w:rPr>
      </w:pPr>
    </w:p>
    <w:p>
      <w:pPr>
        <w:keepNext w:val="0"/>
        <w:keepLines w:val="0"/>
        <w:widowControl w:val="0"/>
        <w:suppressLineNumbers w:val="0"/>
        <w:spacing w:before="0" w:beforeAutospacing="0" w:after="0" w:afterAutospacing="0" w:line="360" w:lineRule="auto"/>
        <w:ind w:left="0" w:right="0"/>
        <w:jc w:val="center"/>
        <w:rPr>
          <w:rFonts w:hint="eastAsia" w:eastAsia="仿宋"/>
          <w:lang w:val="en-US" w:eastAsia="zh-CN"/>
        </w:rPr>
      </w:pPr>
    </w:p>
    <w:p>
      <w:pPr>
        <w:keepNext w:val="0"/>
        <w:keepLines w:val="0"/>
        <w:widowControl w:val="0"/>
        <w:suppressLineNumbers w:val="0"/>
        <w:spacing w:before="0" w:beforeAutospacing="0" w:after="0" w:afterAutospacing="0" w:line="360" w:lineRule="auto"/>
        <w:ind w:left="0" w:right="0"/>
        <w:jc w:val="center"/>
        <w:rPr>
          <w:lang w:val="en-US"/>
        </w:rPr>
      </w:pPr>
    </w:p>
    <w:p>
      <w:pPr>
        <w:pStyle w:val="28"/>
        <w:rPr>
          <w:lang w:val="en-US"/>
        </w:rPr>
      </w:pPr>
    </w:p>
    <w:p>
      <w:pPr>
        <w:keepNext w:val="0"/>
        <w:keepLines w:val="0"/>
        <w:widowControl w:val="0"/>
        <w:suppressLineNumbers w:val="0"/>
        <w:spacing w:before="0" w:beforeAutospacing="0" w:after="0" w:afterAutospacing="0" w:line="360" w:lineRule="auto"/>
        <w:ind w:left="0" w:right="0"/>
        <w:jc w:val="center"/>
        <w:rPr>
          <w:lang w:val="en-US"/>
        </w:rPr>
      </w:pPr>
    </w:p>
    <w:p>
      <w:pPr>
        <w:keepNext w:val="0"/>
        <w:keepLines w:val="0"/>
        <w:widowControl w:val="0"/>
        <w:suppressLineNumbers w:val="0"/>
        <w:spacing w:before="0" w:beforeAutospacing="0" w:after="0" w:afterAutospacing="0" w:line="360" w:lineRule="auto"/>
        <w:ind w:left="0" w:right="0"/>
        <w:jc w:val="center"/>
        <w:rPr>
          <w:lang w:val="en-US"/>
        </w:rPr>
      </w:pPr>
    </w:p>
    <w:p>
      <w:pPr>
        <w:keepNext w:val="0"/>
        <w:keepLines w:val="0"/>
        <w:widowControl w:val="0"/>
        <w:suppressLineNumbers w:val="0"/>
        <w:spacing w:before="0" w:beforeAutospacing="0" w:after="0" w:afterAutospacing="0" w:line="360" w:lineRule="auto"/>
        <w:ind w:left="0" w:leftChars="0" w:right="0" w:firstLine="0" w:firstLineChars="0"/>
        <w:jc w:val="both"/>
        <w:rPr>
          <w:lang w:val="en-US"/>
        </w:rPr>
      </w:pPr>
    </w:p>
    <w:p>
      <w:pPr>
        <w:pStyle w:val="28"/>
        <w:widowControl/>
        <w:ind w:left="0" w:firstLine="480"/>
        <w:rPr>
          <w:lang w:val="en-US"/>
        </w:rPr>
      </w:pPr>
    </w:p>
    <w:p>
      <w:pPr>
        <w:pStyle w:val="28"/>
        <w:widowControl/>
        <w:ind w:left="0" w:firstLine="480"/>
        <w:rPr>
          <w:lang w:val="en-US"/>
        </w:rPr>
      </w:pPr>
    </w:p>
    <w:p>
      <w:pPr>
        <w:keepNext w:val="0"/>
        <w:keepLines w:val="0"/>
        <w:widowControl w:val="0"/>
        <w:suppressLineNumbers w:val="0"/>
        <w:spacing w:before="0" w:beforeAutospacing="0" w:after="0" w:afterAutospacing="0"/>
        <w:ind w:left="0" w:right="0"/>
        <w:jc w:val="center"/>
        <w:outlineLvl w:val="0"/>
        <w:rPr>
          <w:rFonts w:hint="eastAsia" w:ascii="黑体" w:hAnsi="黑体" w:eastAsia="黑体" w:cs="黑体"/>
          <w:b/>
          <w:bCs/>
          <w:sz w:val="44"/>
          <w:szCs w:val="44"/>
          <w:lang w:val="en-US"/>
        </w:rPr>
      </w:pPr>
      <w:bookmarkStart w:id="7" w:name="_Toc27842"/>
      <w:bookmarkStart w:id="8" w:name="_Toc16145"/>
      <w:bookmarkStart w:id="9" w:name="_Toc15104"/>
      <w:bookmarkStart w:id="10" w:name="_Toc28669"/>
      <w:bookmarkStart w:id="11" w:name="_Toc13539"/>
      <w:r>
        <w:rPr>
          <w:rFonts w:hint="eastAsia" w:ascii="黑体" w:hAnsi="黑体" w:eastAsia="黑体" w:cs="黑体"/>
          <w:b/>
          <w:bCs/>
          <w:kern w:val="2"/>
          <w:sz w:val="44"/>
          <w:szCs w:val="44"/>
          <w:lang w:val="en-US" w:eastAsia="zh-CN" w:bidi="ar"/>
        </w:rPr>
        <w:t>浙江铭泽农牧发展有限公司</w:t>
      </w:r>
      <w:bookmarkEnd w:id="7"/>
      <w:bookmarkEnd w:id="8"/>
      <w:bookmarkEnd w:id="9"/>
      <w:bookmarkEnd w:id="10"/>
      <w:bookmarkEnd w:id="11"/>
    </w:p>
    <w:p>
      <w:pPr>
        <w:keepNext w:val="0"/>
        <w:keepLines w:val="0"/>
        <w:widowControl w:val="0"/>
        <w:suppressLineNumbers w:val="0"/>
        <w:spacing w:before="0" w:beforeAutospacing="0" w:after="0" w:afterAutospacing="0"/>
        <w:ind w:left="0" w:right="0"/>
        <w:jc w:val="center"/>
        <w:rPr>
          <w:rFonts w:hint="eastAsia" w:ascii="黑体" w:hAnsi="黑体" w:eastAsia="黑体" w:cs="黑体"/>
          <w:sz w:val="44"/>
          <w:szCs w:val="44"/>
          <w:lang w:val="en-US"/>
        </w:rPr>
      </w:pPr>
      <w:r>
        <w:rPr>
          <w:rFonts w:hint="eastAsia" w:ascii="黑体" w:hAnsi="黑体" w:eastAsia="黑体" w:cs="黑体"/>
          <w:kern w:val="2"/>
          <w:sz w:val="44"/>
          <w:szCs w:val="44"/>
          <w:lang w:val="en-US" w:eastAsia="zh-CN" w:bidi="ar"/>
        </w:rPr>
        <mc:AlternateContent>
          <mc:Choice Requires="wps">
            <w:drawing>
              <wp:anchor distT="0" distB="0" distL="114300" distR="114300" simplePos="0" relativeHeight="251660288" behindDoc="0" locked="0" layoutInCell="1" allowOverlap="1">
                <wp:simplePos x="0" y="0"/>
                <wp:positionH relativeFrom="column">
                  <wp:posOffset>6985</wp:posOffset>
                </wp:positionH>
                <wp:positionV relativeFrom="paragraph">
                  <wp:posOffset>370840</wp:posOffset>
                </wp:positionV>
                <wp:extent cx="5655945" cy="13970"/>
                <wp:effectExtent l="0" t="0" r="0" b="0"/>
                <wp:wrapNone/>
                <wp:docPr id="33" name="Line 491"/>
                <wp:cNvGraphicFramePr/>
                <a:graphic xmlns:a="http://schemas.openxmlformats.org/drawingml/2006/main">
                  <a:graphicData uri="http://schemas.microsoft.com/office/word/2010/wordprocessingShape">
                    <wps:wsp>
                      <wps:cNvCnPr/>
                      <wps:spPr>
                        <a:xfrm>
                          <a:off x="0" y="0"/>
                          <a:ext cx="5655945" cy="13970"/>
                        </a:xfrm>
                        <a:prstGeom prst="line">
                          <a:avLst/>
                        </a:prstGeom>
                        <a:ln w="25400" cap="flat" cmpd="sng">
                          <a:solidFill>
                            <a:srgbClr val="000000"/>
                          </a:solidFill>
                          <a:prstDash val="solid"/>
                          <a:headEnd type="none" w="med" len="med"/>
                          <a:tailEnd type="none" w="med" len="med"/>
                        </a:ln>
                      </wps:spPr>
                      <wps:bodyPr upright="1"/>
                    </wps:wsp>
                  </a:graphicData>
                </a:graphic>
              </wp:anchor>
            </w:drawing>
          </mc:Choice>
          <mc:Fallback>
            <w:pict>
              <v:line id="Line 491" o:spid="_x0000_s1026" o:spt="20" style="position:absolute;left:0pt;margin-left:0.55pt;margin-top:29.2pt;height:1.1pt;width:445.35pt;z-index:251660288;mso-width-relative:page;mso-height-relative:page;" filled="f" stroked="t" coordsize="21600,21600" o:gfxdata="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XWIe9UAAAAHAQAA&#10;DwAAAAAAAAABACAAAAAiAAAAZHJzL2Rvd25yZXYueG1sUEsBAhQAFAAAAAgAh07iQMy0SALjAQAA&#10;4QMAAA4AAAAAAAAAAQAgAAAAJAEAAGRycy9lMm9Eb2MueG1sUEsFBgAAAAAGAAYAWQEAAHkFAAAA&#10;AA==&#10;">
                <v:fill on="f" focussize="0,0"/>
                <v:stroke weight="2pt" color="#000000" joinstyle="round"/>
                <v:imagedata o:title=""/>
                <o:lock v:ext="edit" aspectratio="f"/>
              </v:line>
            </w:pict>
          </mc:Fallback>
        </mc:AlternateContent>
      </w:r>
      <w:r>
        <w:rPr>
          <w:rFonts w:hint="eastAsia" w:ascii="黑体" w:hAnsi="黑体" w:eastAsia="黑体" w:cs="黑体"/>
          <w:b/>
          <w:bCs w:val="0"/>
          <w:kern w:val="2"/>
          <w:sz w:val="44"/>
          <w:szCs w:val="44"/>
          <w:lang w:val="en-US" w:eastAsia="zh-CN" w:bidi="ar"/>
        </w:rPr>
        <w:t>杭州华安节能环保科技</w:t>
      </w:r>
      <w:r>
        <w:rPr>
          <w:rFonts w:hint="eastAsia" w:ascii="黑体" w:hAnsi="黑体" w:eastAsia="黑体" w:cs="黑体"/>
          <w:kern w:val="2"/>
          <w:sz w:val="44"/>
          <w:szCs w:val="44"/>
          <w:lang w:val="en-US" w:eastAsia="zh-CN" w:bidi="ar"/>
        </w:rPr>
        <w:t>有限公司</w:t>
      </w:r>
    </w:p>
    <w:p>
      <w:pPr>
        <w:keepNext w:val="0"/>
        <w:keepLines w:val="0"/>
        <w:widowControl w:val="0"/>
        <w:suppressLineNumbers w:val="0"/>
        <w:spacing w:before="0" w:beforeAutospacing="0" w:after="0" w:afterAutospacing="0"/>
        <w:ind w:left="0" w:right="0"/>
        <w:jc w:val="center"/>
        <w:rPr>
          <w:bCs/>
          <w:sz w:val="24"/>
          <w:szCs w:val="24"/>
          <w:lang w:val="en-US"/>
        </w:rPr>
      </w:pPr>
      <w:r>
        <w:rPr>
          <w:rFonts w:hint="default" w:ascii="Times New Roman" w:hAnsi="Times New Roman" w:eastAsia="宋体" w:cs="Times New Roman"/>
          <w:bCs/>
          <w:kern w:val="2"/>
          <w:sz w:val="24"/>
          <w:szCs w:val="24"/>
          <w:lang w:val="en-US" w:eastAsia="zh-CN" w:bidi="ar"/>
        </w:rPr>
        <w:t>Hangzhou HuaAn Energy Conservation and Environmental Protection Technology Co., Ltd.</w:t>
      </w:r>
    </w:p>
    <w:p>
      <w:pPr>
        <w:keepNext w:val="0"/>
        <w:keepLines w:val="0"/>
        <w:widowControl w:val="0"/>
        <w:suppressLineNumbers w:val="0"/>
        <w:spacing w:before="0" w:beforeAutospacing="0" w:after="0" w:afterAutospacing="0"/>
        <w:ind w:left="0" w:right="0"/>
        <w:jc w:val="center"/>
        <w:rPr>
          <w:bCs/>
          <w:sz w:val="28"/>
          <w:szCs w:val="28"/>
          <w:lang w:val="en-US"/>
        </w:rPr>
      </w:pPr>
      <w:r>
        <w:rPr>
          <w:rFonts w:hint="eastAsia" w:ascii="Times New Roman" w:hAnsi="Times New Roman" w:eastAsia="宋体" w:cs="宋体"/>
          <w:bCs/>
          <w:kern w:val="2"/>
          <w:sz w:val="28"/>
          <w:szCs w:val="28"/>
          <w:lang w:val="en-US" w:eastAsia="zh-CN" w:bidi="ar"/>
        </w:rPr>
        <w:t>二零二</w:t>
      </w:r>
      <w:r>
        <w:rPr>
          <w:rFonts w:hint="eastAsia" w:eastAsia="宋体" w:cs="宋体"/>
          <w:bCs/>
          <w:kern w:val="2"/>
          <w:sz w:val="28"/>
          <w:szCs w:val="28"/>
          <w:lang w:val="en-US" w:eastAsia="zh-CN" w:bidi="ar"/>
        </w:rPr>
        <w:t>三</w:t>
      </w:r>
      <w:r>
        <w:rPr>
          <w:rFonts w:hint="eastAsia" w:ascii="Times New Roman" w:hAnsi="Times New Roman" w:eastAsia="宋体" w:cs="宋体"/>
          <w:bCs/>
          <w:kern w:val="2"/>
          <w:sz w:val="28"/>
          <w:szCs w:val="28"/>
          <w:lang w:val="en-US" w:eastAsia="zh-CN" w:bidi="ar"/>
        </w:rPr>
        <w:t>年</w:t>
      </w:r>
      <w:r>
        <w:rPr>
          <w:rFonts w:hint="eastAsia" w:eastAsia="宋体" w:cs="宋体"/>
          <w:bCs/>
          <w:kern w:val="2"/>
          <w:sz w:val="28"/>
          <w:szCs w:val="28"/>
          <w:lang w:val="en-US" w:eastAsia="zh-CN" w:bidi="ar"/>
        </w:rPr>
        <w:t xml:space="preserve"> 十 </w:t>
      </w:r>
      <w:r>
        <w:rPr>
          <w:rFonts w:hint="eastAsia" w:ascii="Times New Roman" w:hAnsi="Times New Roman" w:eastAsia="宋体" w:cs="宋体"/>
          <w:bCs/>
          <w:kern w:val="2"/>
          <w:sz w:val="28"/>
          <w:szCs w:val="28"/>
          <w:lang w:val="en-US" w:eastAsia="zh-CN" w:bidi="ar"/>
        </w:rPr>
        <w:t>月编制</w:t>
      </w:r>
    </w:p>
    <w:p>
      <w:pPr>
        <w:adjustRightInd w:val="0"/>
        <w:snapToGrid w:val="0"/>
        <w:spacing w:line="360" w:lineRule="auto"/>
        <w:ind w:firstLine="0" w:firstLineChars="0"/>
        <w:jc w:val="both"/>
        <w:rPr>
          <w:rFonts w:ascii="宋体" w:hAnsi="宋体" w:eastAsia="宋体" w:cs="宋体"/>
          <w:b/>
          <w:sz w:val="32"/>
          <w:szCs w:val="32"/>
        </w:rPr>
      </w:pPr>
    </w:p>
    <w:p>
      <w:pPr>
        <w:keepNext w:val="0"/>
        <w:keepLines w:val="0"/>
        <w:widowControl w:val="0"/>
        <w:suppressLineNumbers w:val="0"/>
        <w:spacing w:before="0" w:beforeAutospacing="0" w:after="0" w:afterAutospacing="0" w:line="240" w:lineRule="auto"/>
        <w:ind w:left="720" w:leftChars="300" w:right="0" w:firstLine="0" w:firstLineChars="0"/>
        <w:jc w:val="both"/>
        <w:rPr>
          <w:rFonts w:hint="eastAsia" w:ascii="宋体" w:hAnsi="宋体" w:eastAsia="宋体" w:cs="宋体"/>
          <w:b/>
          <w:kern w:val="2"/>
          <w:sz w:val="24"/>
          <w:szCs w:val="32"/>
          <w:lang w:val="en-US" w:eastAsia="zh-CN" w:bidi="ar-SA"/>
        </w:rPr>
      </w:pPr>
    </w:p>
    <w:sdt>
      <w:sdtPr>
        <w:rPr>
          <w:rFonts w:ascii="宋体" w:hAnsi="宋体" w:eastAsia="宋体" w:cs="Times New Roman"/>
          <w:kern w:val="2"/>
          <w:sz w:val="21"/>
          <w:szCs w:val="24"/>
          <w:lang w:val="en-US" w:eastAsia="zh-CN" w:bidi="ar-SA"/>
        </w:rPr>
        <w:id w:val="147468004"/>
        <w15:color w:val="DBDBDB"/>
        <w:docPartObj>
          <w:docPartGallery w:val="Table of Contents"/>
          <w:docPartUnique/>
        </w:docPartObj>
      </w:sdtPr>
      <w:sdtEndPr>
        <w:rPr>
          <w:rFonts w:hint="eastAsia" w:ascii="宋体" w:hAnsi="宋体" w:eastAsia="宋体" w:cs="宋体"/>
          <w:b/>
          <w:kern w:val="2"/>
          <w:sz w:val="24"/>
          <w:szCs w:val="32"/>
          <w:lang w:val="en-US" w:eastAsia="zh-CN" w:bidi="ar-SA"/>
        </w:rPr>
      </w:sdtEndPr>
      <w:sdtContent>
        <w:p>
          <w:pPr>
            <w:spacing w:before="0" w:beforeLines="0" w:after="0" w:afterLines="0" w:line="240" w:lineRule="auto"/>
            <w:ind w:left="0" w:leftChars="0" w:right="0" w:rightChars="0" w:firstLine="0" w:firstLineChars="0"/>
            <w:jc w:val="center"/>
            <w:rPr>
              <w:sz w:val="32"/>
              <w:szCs w:val="32"/>
            </w:rPr>
          </w:pPr>
          <w:r>
            <w:rPr>
              <w:rFonts w:ascii="宋体" w:hAnsi="宋体" w:eastAsia="宋体"/>
              <w:sz w:val="32"/>
              <w:szCs w:val="32"/>
            </w:rPr>
            <w:t>目</w:t>
          </w:r>
          <w:r>
            <w:rPr>
              <w:rFonts w:hint="eastAsia" w:ascii="宋体" w:hAnsi="宋体" w:eastAsia="宋体"/>
              <w:sz w:val="32"/>
              <w:szCs w:val="32"/>
              <w:lang w:val="en-US" w:eastAsia="zh-CN"/>
            </w:rPr>
            <w:t xml:space="preserve"> </w:t>
          </w:r>
          <w:r>
            <w:rPr>
              <w:rFonts w:ascii="宋体" w:hAnsi="宋体" w:eastAsia="宋体"/>
              <w:sz w:val="32"/>
              <w:szCs w:val="32"/>
            </w:rPr>
            <w:t>录</w:t>
          </w:r>
        </w:p>
        <w:p>
          <w:pPr>
            <w:pStyle w:val="18"/>
            <w:tabs>
              <w:tab w:val="right" w:leader="dot" w:pos="8306"/>
            </w:tabs>
          </w:pPr>
          <w:r>
            <w:rPr>
              <w:rFonts w:hint="eastAsia" w:ascii="宋体" w:hAnsi="宋体" w:eastAsia="宋体" w:cs="宋体"/>
              <w:b/>
              <w:kern w:val="2"/>
              <w:sz w:val="24"/>
              <w:szCs w:val="32"/>
              <w:lang w:val="en-US" w:eastAsia="zh-CN" w:bidi="ar-SA"/>
            </w:rPr>
            <w:fldChar w:fldCharType="begin"/>
          </w:r>
          <w:r>
            <w:rPr>
              <w:rFonts w:hint="eastAsia" w:ascii="宋体" w:hAnsi="宋体" w:eastAsia="宋体" w:cs="宋体"/>
              <w:b/>
              <w:kern w:val="2"/>
              <w:sz w:val="24"/>
              <w:szCs w:val="32"/>
              <w:lang w:val="en-US" w:eastAsia="zh-CN" w:bidi="ar-SA"/>
            </w:rPr>
            <w:instrText xml:space="preserve">TOC \o "1-2" \h \u </w:instrText>
          </w:r>
          <w:r>
            <w:rPr>
              <w:rFonts w:hint="eastAsia" w:ascii="宋体" w:hAnsi="宋体" w:eastAsia="宋体" w:cs="宋体"/>
              <w:b/>
              <w:kern w:val="2"/>
              <w:sz w:val="24"/>
              <w:szCs w:val="32"/>
              <w:lang w:val="en-US" w:eastAsia="zh-CN" w:bidi="ar-SA"/>
            </w:rPr>
            <w:fldChar w:fldCharType="separate"/>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_Toc22797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30"/>
              <w:lang w:val="en-US" w:eastAsia="zh-CN"/>
            </w:rPr>
            <w:t>1、</w:t>
          </w:r>
          <w:r>
            <w:rPr>
              <w:rFonts w:hint="eastAsia" w:asciiTheme="minorEastAsia" w:hAnsiTheme="minorEastAsia" w:eastAsiaTheme="minorEastAsia" w:cstheme="minorEastAsia"/>
              <w:szCs w:val="30"/>
            </w:rPr>
            <w:t>项目验收概况</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_Toc22797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1</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_Toc16387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rPr>
            <w:t>1.1</w:t>
          </w:r>
          <w:r>
            <w:rPr>
              <w:rFonts w:hint="eastAsia" w:asciiTheme="minorEastAsia" w:hAnsiTheme="minorEastAsia" w:eastAsiaTheme="minorEastAsia" w:cstheme="minorEastAsia"/>
              <w:szCs w:val="28"/>
              <w:lang w:eastAsia="zh-CN"/>
            </w:rPr>
            <w:t>、</w:t>
          </w:r>
          <w:r>
            <w:rPr>
              <w:rFonts w:hint="eastAsia" w:asciiTheme="minorEastAsia" w:hAnsiTheme="minorEastAsia" w:eastAsiaTheme="minorEastAsia" w:cstheme="minorEastAsia"/>
              <w:szCs w:val="28"/>
            </w:rPr>
            <w:t>项目基本情况</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_Toc16387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1</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_Toc12836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rPr>
            <w:t>1.2</w:t>
          </w:r>
          <w:r>
            <w:rPr>
              <w:rFonts w:hint="eastAsia" w:asciiTheme="minorEastAsia" w:hAnsiTheme="minorEastAsia" w:eastAsiaTheme="minorEastAsia" w:cstheme="minorEastAsia"/>
              <w:szCs w:val="28"/>
              <w:lang w:eastAsia="zh-CN"/>
            </w:rPr>
            <w:t>、</w:t>
          </w:r>
          <w:r>
            <w:rPr>
              <w:rFonts w:hint="eastAsia" w:asciiTheme="minorEastAsia" w:hAnsiTheme="minorEastAsia" w:eastAsiaTheme="minorEastAsia" w:cstheme="minorEastAsia"/>
              <w:szCs w:val="28"/>
            </w:rPr>
            <w:t>项目建设过程</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_Toc12836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1</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_Toc32361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lang w:val="en-US" w:eastAsia="zh-CN"/>
            </w:rPr>
            <w:t>1.3、本次验收说明</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_Toc32361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2</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_Toc10892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lang w:val="en-US" w:eastAsia="zh-CN"/>
            </w:rPr>
            <w:t>1.4、项目污染特征</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_Toc10892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2</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_Toc18554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rPr>
            <w:t>1.</w:t>
          </w:r>
          <w:r>
            <w:rPr>
              <w:rFonts w:hint="eastAsia" w:asciiTheme="minorEastAsia" w:hAnsiTheme="minorEastAsia" w:eastAsiaTheme="minorEastAsia" w:cstheme="minorEastAsia"/>
              <w:szCs w:val="28"/>
              <w:lang w:val="en-US" w:eastAsia="zh-CN"/>
            </w:rPr>
            <w:t>5、</w:t>
          </w:r>
          <w:r>
            <w:rPr>
              <w:rFonts w:hint="eastAsia" w:asciiTheme="minorEastAsia" w:hAnsiTheme="minorEastAsia" w:eastAsiaTheme="minorEastAsia" w:cstheme="minorEastAsia"/>
              <w:szCs w:val="28"/>
            </w:rPr>
            <w:t>项目验收范围</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_Toc18554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_Toc18464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rPr>
            <w:t>1.</w:t>
          </w:r>
          <w:r>
            <w:rPr>
              <w:rFonts w:hint="eastAsia" w:asciiTheme="minorEastAsia" w:hAnsiTheme="minorEastAsia" w:eastAsiaTheme="minorEastAsia" w:cstheme="minorEastAsia"/>
              <w:szCs w:val="28"/>
              <w:lang w:val="en-US" w:eastAsia="zh-CN"/>
            </w:rPr>
            <w:t>6、</w:t>
          </w:r>
          <w:r>
            <w:rPr>
              <w:rFonts w:hint="eastAsia" w:asciiTheme="minorEastAsia" w:hAnsiTheme="minorEastAsia" w:eastAsiaTheme="minorEastAsia" w:cstheme="minorEastAsia"/>
              <w:szCs w:val="28"/>
            </w:rPr>
            <w:t>项目验收工作组织</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_Toc18464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_Toc15246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30"/>
              <w:lang w:val="en-US" w:eastAsia="zh-CN"/>
            </w:rPr>
            <w:t>2、</w:t>
          </w:r>
          <w:r>
            <w:rPr>
              <w:rFonts w:hint="eastAsia" w:asciiTheme="minorEastAsia" w:hAnsiTheme="minorEastAsia" w:eastAsiaTheme="minorEastAsia" w:cstheme="minorEastAsia"/>
              <w:szCs w:val="30"/>
            </w:rPr>
            <w:t>验收依据</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_Toc15246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_Toc17474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rPr>
            <w:t>2.1我国及浙江省环境保护法律、法规</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_Toc17474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_Toc15332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rPr>
            <w:t>2.2技术规范</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_Toc15332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4</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_Toc23601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rPr>
            <w:t>2.3主要环保技术文件及相关批复文件</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_Toc23601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4</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_Toc25760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30"/>
              <w:lang w:val="en-US" w:eastAsia="zh-CN"/>
            </w:rPr>
            <w:t>3、</w:t>
          </w:r>
          <w:r>
            <w:rPr>
              <w:rFonts w:hint="eastAsia" w:asciiTheme="minorEastAsia" w:hAnsiTheme="minorEastAsia" w:eastAsiaTheme="minorEastAsia" w:cstheme="minorEastAsia"/>
              <w:szCs w:val="30"/>
            </w:rPr>
            <w:t>工程建设情况</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_Toc25760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5</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_Toc21119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rPr>
            <w:t>3.1地理位置及平面布置</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_Toc21119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5</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_Toc27090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rPr>
            <w:t>3.2</w:t>
          </w:r>
          <w:r>
            <w:rPr>
              <w:rFonts w:hint="eastAsia" w:asciiTheme="minorEastAsia" w:hAnsiTheme="minorEastAsia" w:eastAsiaTheme="minorEastAsia" w:cstheme="minorEastAsia"/>
              <w:szCs w:val="28"/>
              <w:lang w:eastAsia="zh-CN"/>
            </w:rPr>
            <w:t>、</w:t>
          </w:r>
          <w:r>
            <w:rPr>
              <w:rFonts w:hint="eastAsia" w:asciiTheme="minorEastAsia" w:hAnsiTheme="minorEastAsia" w:eastAsiaTheme="minorEastAsia" w:cstheme="minorEastAsia"/>
              <w:szCs w:val="28"/>
            </w:rPr>
            <w:t>建设内容</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_Toc27090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7</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_Toc23994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rPr>
            <w:t>3.</w:t>
          </w:r>
          <w:r>
            <w:rPr>
              <w:rFonts w:hint="eastAsia" w:asciiTheme="minorEastAsia" w:hAnsiTheme="minorEastAsia" w:eastAsiaTheme="minorEastAsia" w:cstheme="minorEastAsia"/>
              <w:szCs w:val="28"/>
              <w:lang w:val="en-US" w:eastAsia="zh-CN"/>
            </w:rPr>
            <w:t>3、</w:t>
          </w:r>
          <w:r>
            <w:rPr>
              <w:rFonts w:hint="eastAsia" w:asciiTheme="minorEastAsia" w:hAnsiTheme="minorEastAsia" w:eastAsiaTheme="minorEastAsia" w:cstheme="minorEastAsia"/>
              <w:szCs w:val="28"/>
            </w:rPr>
            <w:t>项目实际建设</w:t>
          </w:r>
          <w:r>
            <w:rPr>
              <w:rFonts w:hint="eastAsia" w:asciiTheme="minorEastAsia" w:hAnsiTheme="minorEastAsia" w:eastAsiaTheme="minorEastAsia" w:cstheme="minorEastAsia"/>
              <w:szCs w:val="28"/>
              <w:lang w:val="en-US" w:eastAsia="zh-CN"/>
            </w:rPr>
            <w:t>情况</w:t>
          </w:r>
          <w:r>
            <w:rPr>
              <w:rFonts w:hint="eastAsia" w:asciiTheme="minorEastAsia" w:hAnsiTheme="minorEastAsia" w:eastAsiaTheme="minorEastAsia" w:cstheme="minorEastAsia"/>
              <w:szCs w:val="28"/>
            </w:rPr>
            <w:t>与环评设计对比</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_Toc23994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8</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_Toc32332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28"/>
              <w:lang w:val="en-US" w:eastAsia="zh-CN"/>
            </w:rPr>
            <w:t>3.4、项目用水平衡</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_Toc32332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15</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_Toc27109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kern w:val="0"/>
              <w:szCs w:val="28"/>
              <w:lang w:val="en-US" w:eastAsia="zh-CN" w:bidi="ar"/>
            </w:rPr>
            <w:t>3.5、项目变动情况</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_Toc27109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16</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_Toc14493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28"/>
              <w:lang w:val="en-US" w:eastAsia="zh-CN"/>
            </w:rPr>
            <w:t>3.6、</w:t>
          </w:r>
          <w:r>
            <w:rPr>
              <w:rFonts w:hint="eastAsia" w:asciiTheme="minorEastAsia" w:hAnsiTheme="minorEastAsia" w:eastAsiaTheme="minorEastAsia" w:cstheme="minorEastAsia"/>
              <w:bCs/>
              <w:szCs w:val="28"/>
            </w:rPr>
            <w:t>生产工艺及产污情况</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_Toc14493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19</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_Toc27552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kern w:val="0"/>
              <w:szCs w:val="28"/>
              <w:lang w:val="en-US" w:eastAsia="zh-CN" w:bidi="ar"/>
            </w:rPr>
            <w:t>3.7、肉牛养殖过程中污染因素识别</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_Toc27552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21</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_Toc14850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28"/>
              <w:lang w:val="en-US" w:eastAsia="zh-CN"/>
            </w:rPr>
            <w:t>3.8、主要污染源及治理措施环节保护设施</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_Toc14850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22</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_Toc22028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28"/>
              <w:vertAlign w:val="baseline"/>
              <w:lang w:val="en-US" w:eastAsia="zh-CN"/>
            </w:rPr>
            <w:t>3.9、环保设施投资及三同时落实情况</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_Toc22028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24</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_Toc2133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30"/>
              <w:lang w:val="en-US" w:eastAsia="zh-CN"/>
            </w:rPr>
            <w:t>4 、环境影响报告书主要结论及其审批部门审批情况</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_Toc2133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28</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_Toc391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28"/>
              <w:lang w:val="en-US" w:eastAsia="zh-CN"/>
            </w:rPr>
            <w:t>4.1、环境影响报告书主要结论与建议</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_Toc391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28</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_Toc12538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28"/>
              <w:lang w:val="en-US" w:eastAsia="zh-CN"/>
            </w:rPr>
            <w:t>4</w:t>
          </w:r>
          <w:r>
            <w:rPr>
              <w:rFonts w:hint="eastAsia" w:asciiTheme="minorEastAsia" w:hAnsiTheme="minorEastAsia" w:eastAsiaTheme="minorEastAsia" w:cstheme="minorEastAsia"/>
              <w:bCs/>
              <w:szCs w:val="28"/>
            </w:rPr>
            <w:t>.2</w:t>
          </w:r>
          <w:r>
            <w:rPr>
              <w:rFonts w:hint="eastAsia" w:asciiTheme="minorEastAsia" w:hAnsiTheme="minorEastAsia" w:eastAsiaTheme="minorEastAsia" w:cstheme="minorEastAsia"/>
              <w:bCs/>
              <w:szCs w:val="28"/>
              <w:lang w:eastAsia="zh-CN"/>
            </w:rPr>
            <w:t>、</w:t>
          </w:r>
          <w:r>
            <w:rPr>
              <w:rFonts w:hint="eastAsia" w:asciiTheme="minorEastAsia" w:hAnsiTheme="minorEastAsia" w:eastAsiaTheme="minorEastAsia" w:cstheme="minorEastAsia"/>
              <w:bCs/>
              <w:szCs w:val="28"/>
              <w:lang w:val="en-US" w:eastAsia="zh-CN"/>
            </w:rPr>
            <w:t>审批部门审批意见</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_Toc12538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29</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_Toc5549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30"/>
              <w:lang w:val="en-US" w:eastAsia="zh-CN"/>
            </w:rPr>
            <w:t>5、验收执行标准</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_Toc5549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31</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_Toc21666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30"/>
              <w:lang w:val="en-US" w:eastAsia="zh-CN"/>
            </w:rPr>
            <w:t>6、验收期间现场监测</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_Toc21666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33</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_Toc11977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28"/>
              <w:lang w:val="en-US" w:eastAsia="zh-CN"/>
            </w:rPr>
            <w:t>6.1、监测内容</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_Toc11977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34</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_Toc8101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28"/>
              <w:lang w:val="en-US" w:eastAsia="zh-CN"/>
            </w:rPr>
            <w:t>6.2 、质量控制和质量保证</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_Toc8101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34</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_Toc27979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val="0"/>
              <w:szCs w:val="28"/>
              <w:lang w:val="en-US" w:eastAsia="zh-CN"/>
            </w:rPr>
            <w:t>6.3、监测分析方法</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_Toc27979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35</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_Toc2329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lang w:val="en-US" w:eastAsia="zh-CN"/>
            </w:rPr>
            <w:t>6.4 、</w:t>
          </w:r>
          <w:r>
            <w:rPr>
              <w:rFonts w:hint="eastAsia" w:asciiTheme="minorEastAsia" w:hAnsiTheme="minorEastAsia" w:eastAsiaTheme="minorEastAsia" w:cstheme="minorEastAsia"/>
              <w:szCs w:val="28"/>
            </w:rPr>
            <w:t>监测分析仪器</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_Toc2329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35</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_Toc14110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lang w:val="en-US" w:eastAsia="zh-CN"/>
            </w:rPr>
            <w:t>6.5、</w:t>
          </w:r>
          <w:r>
            <w:rPr>
              <w:rFonts w:hint="eastAsia" w:asciiTheme="minorEastAsia" w:hAnsiTheme="minorEastAsia" w:eastAsiaTheme="minorEastAsia" w:cstheme="minorEastAsia"/>
              <w:szCs w:val="28"/>
            </w:rPr>
            <w:t>质量保证和质量控制要求</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_Toc14110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35</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ind w:firstLine="960" w:firstLineChars="400"/>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_Toc14769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lang w:val="en-US" w:eastAsia="zh-CN"/>
            </w:rPr>
            <w:t>6.6、</w:t>
          </w:r>
          <w:r>
            <w:rPr>
              <w:rFonts w:hint="eastAsia" w:asciiTheme="minorEastAsia" w:hAnsiTheme="minorEastAsia" w:eastAsiaTheme="minorEastAsia" w:cstheme="minorEastAsia"/>
              <w:szCs w:val="28"/>
            </w:rPr>
            <w:t>验收监测结果</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_Toc14769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36</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_Toc30548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30"/>
              <w:lang w:val="en-US" w:eastAsia="zh-CN"/>
            </w:rPr>
            <w:t>7、</w:t>
          </w:r>
          <w:r>
            <w:rPr>
              <w:rFonts w:hint="eastAsia" w:asciiTheme="minorEastAsia" w:hAnsiTheme="minorEastAsia" w:eastAsiaTheme="minorEastAsia" w:cstheme="minorEastAsia"/>
              <w:szCs w:val="30"/>
            </w:rPr>
            <w:t>验收监测结论和建议</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_Toc30548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41</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_Toc32012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lang w:val="en-US" w:eastAsia="zh-CN"/>
            </w:rPr>
            <w:t>7.1、</w:t>
          </w:r>
          <w:r>
            <w:rPr>
              <w:rFonts w:hint="eastAsia" w:asciiTheme="minorEastAsia" w:hAnsiTheme="minorEastAsia" w:eastAsiaTheme="minorEastAsia" w:cstheme="minorEastAsia"/>
              <w:szCs w:val="28"/>
            </w:rPr>
            <w:t>监测结论</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_Toc32012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41</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_Toc9116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30"/>
              <w:lang w:val="en-US" w:eastAsia="zh-CN"/>
            </w:rPr>
            <w:t>8、环境管理检查</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_Toc9116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42</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ind w:left="0" w:leftChars="0" w:firstLine="480" w:firstLineChars="200"/>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_Toc14411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val="0"/>
              <w:szCs w:val="30"/>
              <w:lang w:val="en-US" w:eastAsia="zh-CN"/>
            </w:rPr>
            <w:t>9、</w:t>
          </w:r>
          <w:r>
            <w:rPr>
              <w:rFonts w:hint="eastAsia" w:asciiTheme="minorEastAsia" w:hAnsiTheme="minorEastAsia" w:eastAsiaTheme="minorEastAsia" w:cstheme="minorEastAsia"/>
              <w:bCs w:val="0"/>
              <w:szCs w:val="30"/>
            </w:rPr>
            <w:t>审批部门审批决定及污染治理措施落实情况</w:t>
          </w:r>
          <w:r>
            <w:rPr>
              <w:rFonts w:hint="eastAsia" w:asciiTheme="minorEastAsia" w:hAnsiTheme="minorEastAsia" w:eastAsiaTheme="minorEastAsia" w:cstheme="minorEastAsia"/>
              <w:bCs w:val="0"/>
              <w:szCs w:val="30"/>
              <w:lang w:val="en-US" w:eastAsia="zh-CN"/>
            </w:rPr>
            <w:t>检查</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_Toc14411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44</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_Toc18336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30"/>
              <w:lang w:val="en-US" w:eastAsia="zh-CN"/>
            </w:rPr>
            <w:t>10、</w:t>
          </w:r>
          <w:r>
            <w:rPr>
              <w:rFonts w:hint="eastAsia" w:asciiTheme="minorEastAsia" w:hAnsiTheme="minorEastAsia" w:eastAsiaTheme="minorEastAsia" w:cstheme="minorEastAsia"/>
              <w:szCs w:val="30"/>
            </w:rPr>
            <w:t>总结</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_Toc18336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46</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ind w:left="0" w:leftChars="0" w:firstLine="480" w:firstLineChars="200"/>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_Toc10595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30"/>
            </w:rPr>
            <w:t>1</w:t>
          </w:r>
          <w:r>
            <w:rPr>
              <w:rFonts w:hint="eastAsia" w:asciiTheme="minorEastAsia" w:hAnsiTheme="minorEastAsia" w:eastAsiaTheme="minorEastAsia" w:cstheme="minorEastAsia"/>
              <w:szCs w:val="30"/>
              <w:lang w:val="en-US" w:eastAsia="zh-CN"/>
            </w:rPr>
            <w:t>1、</w:t>
          </w:r>
          <w:r>
            <w:rPr>
              <w:rFonts w:hint="eastAsia" w:asciiTheme="minorEastAsia" w:hAnsiTheme="minorEastAsia" w:eastAsiaTheme="minorEastAsia" w:cstheme="minorEastAsia"/>
              <w:szCs w:val="30"/>
            </w:rPr>
            <w:t>建议</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_Toc10595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47</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ind w:left="0" w:leftChars="0" w:firstLine="480" w:firstLineChars="200"/>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_Toc23426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kern w:val="44"/>
              <w:szCs w:val="32"/>
            </w:rPr>
            <w:t>建设项目工程竣工环境保护“三同时”验收登记表</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_Toc23426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48</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_Toc867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szCs w:val="28"/>
            </w:rPr>
            <w:t>附件一、环评批复文件</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_Toc867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49</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_Toc17337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kern w:val="44"/>
              <w:szCs w:val="28"/>
            </w:rPr>
            <w:t>附件</w:t>
          </w:r>
          <w:r>
            <w:rPr>
              <w:rFonts w:hint="eastAsia" w:asciiTheme="minorEastAsia" w:hAnsiTheme="minorEastAsia" w:eastAsiaTheme="minorEastAsia" w:cstheme="minorEastAsia"/>
              <w:bCs/>
              <w:kern w:val="44"/>
              <w:szCs w:val="28"/>
              <w:lang w:val="en-US" w:eastAsia="zh-CN"/>
            </w:rPr>
            <w:t>二</w:t>
          </w:r>
          <w:r>
            <w:rPr>
              <w:rFonts w:hint="eastAsia" w:asciiTheme="minorEastAsia" w:hAnsiTheme="minorEastAsia" w:eastAsiaTheme="minorEastAsia" w:cstheme="minorEastAsia"/>
              <w:bCs/>
              <w:kern w:val="44"/>
              <w:szCs w:val="28"/>
            </w:rPr>
            <w:t>、</w:t>
          </w:r>
          <w:r>
            <w:rPr>
              <w:rFonts w:hint="eastAsia" w:asciiTheme="minorEastAsia" w:hAnsiTheme="minorEastAsia" w:eastAsiaTheme="minorEastAsia" w:cstheme="minorEastAsia"/>
              <w:bCs/>
              <w:kern w:val="44"/>
              <w:szCs w:val="28"/>
              <w:lang w:val="en-US" w:eastAsia="zh-CN"/>
            </w:rPr>
            <w:t>排污许可证</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_Toc17337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53</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_Toc17081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kern w:val="44"/>
              <w:szCs w:val="28"/>
            </w:rPr>
            <w:t>附件</w:t>
          </w:r>
          <w:r>
            <w:rPr>
              <w:rFonts w:hint="eastAsia" w:asciiTheme="minorEastAsia" w:hAnsiTheme="minorEastAsia" w:eastAsiaTheme="minorEastAsia" w:cstheme="minorEastAsia"/>
              <w:bCs/>
              <w:kern w:val="44"/>
              <w:szCs w:val="28"/>
              <w:lang w:val="en-US" w:eastAsia="zh-CN"/>
            </w:rPr>
            <w:t>三</w:t>
          </w:r>
          <w:r>
            <w:rPr>
              <w:rFonts w:hint="eastAsia" w:asciiTheme="minorEastAsia" w:hAnsiTheme="minorEastAsia" w:eastAsiaTheme="minorEastAsia" w:cstheme="minorEastAsia"/>
              <w:bCs/>
              <w:kern w:val="44"/>
              <w:szCs w:val="28"/>
            </w:rPr>
            <w:t>、</w:t>
          </w:r>
          <w:r>
            <w:rPr>
              <w:rFonts w:hint="eastAsia" w:asciiTheme="minorEastAsia" w:hAnsiTheme="minorEastAsia" w:eastAsiaTheme="minorEastAsia" w:cstheme="minorEastAsia"/>
              <w:bCs/>
              <w:kern w:val="44"/>
              <w:szCs w:val="28"/>
              <w:lang w:val="en-US" w:eastAsia="zh-CN"/>
            </w:rPr>
            <w:t>委托处置协议</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_Toc17081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54</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_Toc3548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kern w:val="44"/>
              <w:szCs w:val="28"/>
              <w:lang w:val="en-US" w:eastAsia="zh-CN"/>
            </w:rPr>
            <w:t>附件四、动物无害化处置协议</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_Toc3548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61</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_Toc31610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kern w:val="44"/>
              <w:szCs w:val="28"/>
              <w:lang w:val="en-US" w:eastAsia="zh-CN"/>
            </w:rPr>
            <w:t>附件五、</w:t>
          </w:r>
          <w:r>
            <w:rPr>
              <w:rFonts w:hint="eastAsia" w:asciiTheme="minorEastAsia" w:hAnsiTheme="minorEastAsia" w:eastAsiaTheme="minorEastAsia" w:cstheme="minorEastAsia"/>
              <w:bCs/>
              <w:szCs w:val="28"/>
              <w:lang w:val="en-US" w:eastAsia="zh-CN"/>
            </w:rPr>
            <w:t>有机肥基料生产工艺及环保设施变更说明</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_Toc31610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62</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kern w:val="2"/>
              <w:szCs w:val="32"/>
              <w:lang w:val="en-US" w:eastAsia="zh-CN" w:bidi="ar-S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_Toc3900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kern w:val="44"/>
              <w:szCs w:val="28"/>
              <w:lang w:val="en-US" w:eastAsia="zh-CN"/>
            </w:rPr>
            <w:t>附件六、企业承诺书</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_Toc3900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63</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_Toc3900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kern w:val="44"/>
              <w:szCs w:val="28"/>
              <w:lang w:val="en-US" w:eastAsia="zh-CN"/>
            </w:rPr>
            <w:t>附件七、检测报告</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_Toc3900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6</w:t>
          </w:r>
          <w:r>
            <w:rPr>
              <w:rFonts w:hint="eastAsia" w:asciiTheme="minorEastAsia" w:hAnsiTheme="minorEastAsia" w:eastAsiaTheme="minorEastAsia" w:cstheme="minorEastAsia"/>
              <w:lang w:val="en-US" w:eastAsia="zh-CN"/>
            </w:rPr>
            <w:t>4</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18"/>
            <w:tabs>
              <w:tab w:val="right" w:leader="dot" w:pos="8306"/>
            </w:tabs>
            <w:rPr>
              <w:rFonts w:hint="eastAsia" w:asciiTheme="minorEastAsia" w:hAnsiTheme="minorEastAsia" w:eastAsiaTheme="minorEastAsia" w:cstheme="minorEastAsia"/>
              <w:kern w:val="2"/>
              <w:szCs w:val="32"/>
              <w:lang w:val="en-US" w:eastAsia="zh-CN" w:bidi="ar-S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_Toc31610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kern w:val="44"/>
              <w:szCs w:val="28"/>
              <w:lang w:val="en-US" w:eastAsia="zh-CN"/>
            </w:rPr>
            <w:t>附件八、</w:t>
          </w:r>
          <w:r>
            <w:rPr>
              <w:rFonts w:hint="eastAsia" w:asciiTheme="minorEastAsia" w:hAnsiTheme="minorEastAsia" w:eastAsiaTheme="minorEastAsia" w:cstheme="minorEastAsia"/>
              <w:bCs/>
              <w:szCs w:val="28"/>
              <w:lang w:val="en-US" w:eastAsia="zh-CN"/>
            </w:rPr>
            <w:t>验收会议签到表</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lang w:val="en-US" w:eastAsia="zh-CN"/>
            </w:rPr>
            <w:t>6</w:t>
          </w:r>
          <w:r>
            <w:rPr>
              <w:rFonts w:hint="eastAsia" w:asciiTheme="minorEastAsia" w:hAnsiTheme="minorEastAsia" w:eastAsiaTheme="minorEastAsia" w:cstheme="minorEastAsia"/>
              <w:kern w:val="2"/>
              <w:szCs w:val="32"/>
              <w:lang w:val="en-US" w:eastAsia="zh-CN" w:bidi="ar-SA"/>
            </w:rPr>
            <w:fldChar w:fldCharType="end"/>
          </w:r>
          <w:r>
            <w:rPr>
              <w:rFonts w:hint="eastAsia" w:asciiTheme="minorEastAsia" w:hAnsiTheme="minorEastAsia" w:eastAsiaTheme="minorEastAsia" w:cstheme="minorEastAsia"/>
              <w:kern w:val="2"/>
              <w:szCs w:val="32"/>
              <w:lang w:val="en-US" w:eastAsia="zh-CN" w:bidi="ar-SA"/>
            </w:rPr>
            <w:t>9</w:t>
          </w:r>
        </w:p>
        <w:p>
          <w:pPr>
            <w:pStyle w:val="18"/>
            <w:tabs>
              <w:tab w:val="right" w:leader="dot" w:pos="8306"/>
            </w:tabs>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_Toc31610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kern w:val="44"/>
              <w:szCs w:val="28"/>
              <w:lang w:val="en-US" w:eastAsia="zh-CN"/>
            </w:rPr>
            <w:t>附件九、</w:t>
          </w:r>
          <w:r>
            <w:rPr>
              <w:rFonts w:hint="eastAsia" w:asciiTheme="minorEastAsia" w:hAnsiTheme="minorEastAsia" w:eastAsiaTheme="minorEastAsia" w:cstheme="minorEastAsia"/>
              <w:bCs/>
              <w:szCs w:val="28"/>
              <w:lang w:val="en-US" w:eastAsia="zh-CN"/>
            </w:rPr>
            <w:t>验收评审意见</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lang w:val="en-US" w:eastAsia="zh-CN"/>
            </w:rPr>
            <w:t>7</w:t>
          </w:r>
          <w:r>
            <w:rPr>
              <w:rFonts w:hint="eastAsia" w:asciiTheme="minorEastAsia" w:hAnsiTheme="minorEastAsia" w:eastAsiaTheme="minorEastAsia" w:cstheme="minorEastAsia"/>
              <w:kern w:val="2"/>
              <w:szCs w:val="32"/>
              <w:lang w:val="en-US" w:eastAsia="zh-CN" w:bidi="ar-SA"/>
            </w:rPr>
            <w:fldChar w:fldCharType="end"/>
          </w:r>
          <w:r>
            <w:rPr>
              <w:rFonts w:hint="eastAsia" w:asciiTheme="minorEastAsia" w:hAnsiTheme="minorEastAsia" w:eastAsiaTheme="minorEastAsia" w:cstheme="minorEastAsia"/>
              <w:kern w:val="2"/>
              <w:szCs w:val="32"/>
              <w:lang w:val="en-US" w:eastAsia="zh-CN" w:bidi="ar-SA"/>
            </w:rPr>
            <w:t>0</w:t>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_Toc8467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28"/>
              <w:lang w:val="en-US" w:eastAsia="zh-CN"/>
            </w:rPr>
            <w:t>一、职责规范制度</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_Toc8467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74</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_Toc30302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24"/>
              <w:lang w:val="en-US" w:eastAsia="zh-CN"/>
            </w:rPr>
            <w:t>二、</w:t>
          </w:r>
          <w:r>
            <w:rPr>
              <w:rFonts w:hint="eastAsia" w:asciiTheme="minorEastAsia" w:hAnsiTheme="minorEastAsia" w:eastAsiaTheme="minorEastAsia" w:cstheme="minorEastAsia"/>
              <w:bCs/>
              <w:szCs w:val="28"/>
              <w:lang w:val="en-US" w:eastAsia="zh-CN"/>
            </w:rPr>
            <w:t>肉牛养殖场无害化处理制度</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_Toc30302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77</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rPr>
              <w:rFonts w:hint="eastAsia" w:asciiTheme="minorEastAsia" w:hAnsiTheme="minorEastAsia" w:eastAsiaTheme="minorEastAsia" w:cstheme="minorEastAsia"/>
            </w:rPr>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_Toc11812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24"/>
              <w:lang w:val="en-US" w:eastAsia="zh-CN"/>
            </w:rPr>
            <w:t>三、</w:t>
          </w:r>
          <w:r>
            <w:rPr>
              <w:rFonts w:hint="eastAsia" w:asciiTheme="minorEastAsia" w:hAnsiTheme="minorEastAsia" w:eastAsiaTheme="minorEastAsia" w:cstheme="minorEastAsia"/>
              <w:bCs/>
              <w:szCs w:val="28"/>
              <w:lang w:val="en-US" w:eastAsia="zh-CN"/>
            </w:rPr>
            <w:t>卫生防疫管理制度</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_Toc11812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77</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pStyle w:val="21"/>
            <w:tabs>
              <w:tab w:val="right" w:leader="dot" w:pos="8306"/>
            </w:tabs>
          </w:pPr>
          <w:r>
            <w:rPr>
              <w:rFonts w:hint="eastAsia" w:asciiTheme="minorEastAsia" w:hAnsiTheme="minorEastAsia" w:eastAsiaTheme="minorEastAsia" w:cstheme="minorEastAsia"/>
              <w:kern w:val="2"/>
              <w:szCs w:val="32"/>
              <w:lang w:val="en-US" w:eastAsia="zh-CN" w:bidi="ar-SA"/>
            </w:rPr>
            <w:fldChar w:fldCharType="begin"/>
          </w:r>
          <w:r>
            <w:rPr>
              <w:rFonts w:hint="eastAsia" w:asciiTheme="minorEastAsia" w:hAnsiTheme="minorEastAsia" w:eastAsiaTheme="minorEastAsia" w:cstheme="minorEastAsia"/>
              <w:kern w:val="2"/>
              <w:szCs w:val="32"/>
              <w:lang w:val="en-US" w:eastAsia="zh-CN" w:bidi="ar-SA"/>
            </w:rPr>
            <w:instrText xml:space="preserve"> HYPERLINK \l _Toc2592 </w:instrText>
          </w:r>
          <w:r>
            <w:rPr>
              <w:rFonts w:hint="eastAsia" w:asciiTheme="minorEastAsia" w:hAnsiTheme="minorEastAsia" w:eastAsiaTheme="minorEastAsia" w:cstheme="minorEastAsia"/>
              <w:kern w:val="2"/>
              <w:szCs w:val="32"/>
              <w:lang w:val="en-US" w:eastAsia="zh-CN" w:bidi="ar-SA"/>
            </w:rPr>
            <w:fldChar w:fldCharType="separate"/>
          </w:r>
          <w:r>
            <w:rPr>
              <w:rFonts w:hint="eastAsia" w:asciiTheme="minorEastAsia" w:hAnsiTheme="minorEastAsia" w:eastAsiaTheme="minorEastAsia" w:cstheme="minorEastAsia"/>
              <w:bCs/>
              <w:szCs w:val="28"/>
              <w:lang w:val="en-US" w:eastAsia="zh-CN"/>
            </w:rPr>
            <w:t>四、肉牛养殖场消毒管理制度</w:t>
          </w:r>
          <w:r>
            <w:rPr>
              <w:rFonts w:hint="eastAsia" w:asciiTheme="minorEastAsia" w:hAnsiTheme="minorEastAsia" w:eastAsiaTheme="minorEastAsia" w:cstheme="minorEastAsia"/>
            </w:rPr>
            <w:tab/>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PAGEREF _Toc2592 \h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rPr>
            <w:t>78</w:t>
          </w:r>
          <w:r>
            <w:rPr>
              <w:rFonts w:hint="eastAsia" w:asciiTheme="minorEastAsia" w:hAnsiTheme="minorEastAsia" w:eastAsiaTheme="minorEastAsia" w:cstheme="minorEastAsia"/>
            </w:rPr>
            <w:fldChar w:fldCharType="end"/>
          </w:r>
          <w:r>
            <w:rPr>
              <w:rFonts w:hint="eastAsia" w:asciiTheme="minorEastAsia" w:hAnsiTheme="minorEastAsia" w:eastAsiaTheme="minorEastAsia" w:cstheme="minorEastAsia"/>
              <w:kern w:val="2"/>
              <w:szCs w:val="32"/>
              <w:lang w:val="en-US" w:eastAsia="zh-CN" w:bidi="ar-SA"/>
            </w:rPr>
            <w:fldChar w:fldCharType="end"/>
          </w:r>
        </w:p>
        <w:p>
          <w:pPr>
            <w:keepNext w:val="0"/>
            <w:keepLines w:val="0"/>
            <w:widowControl w:val="0"/>
            <w:suppressLineNumbers w:val="0"/>
            <w:spacing w:before="0" w:beforeAutospacing="0" w:after="0" w:afterAutospacing="0" w:line="360" w:lineRule="auto"/>
            <w:ind w:left="720" w:leftChars="300" w:right="0" w:firstLine="0" w:firstLineChars="0"/>
            <w:jc w:val="both"/>
            <w:rPr>
              <w:rFonts w:hint="eastAsia" w:ascii="宋体" w:hAnsi="宋体" w:eastAsia="宋体" w:cs="宋体"/>
              <w:b/>
              <w:kern w:val="2"/>
              <w:sz w:val="24"/>
              <w:szCs w:val="32"/>
              <w:lang w:val="en-US" w:eastAsia="zh-CN" w:bidi="ar-SA"/>
            </w:rPr>
            <w:sectPr>
              <w:headerReference r:id="rId5" w:type="default"/>
              <w:footerReference r:id="rId6" w:type="default"/>
              <w:pgSz w:w="11906" w:h="16838"/>
              <w:pgMar w:top="1440" w:right="1800" w:bottom="1440" w:left="1800" w:header="907" w:footer="794" w:gutter="0"/>
              <w:cols w:space="720" w:num="1"/>
              <w:docGrid w:type="lines" w:linePitch="326" w:charSpace="0"/>
            </w:sectPr>
          </w:pPr>
          <w:r>
            <w:rPr>
              <w:rFonts w:hint="eastAsia" w:ascii="宋体" w:hAnsi="宋体" w:eastAsia="宋体" w:cs="宋体"/>
              <w:kern w:val="2"/>
              <w:szCs w:val="32"/>
              <w:lang w:val="en-US" w:eastAsia="zh-CN" w:bidi="ar-SA"/>
            </w:rPr>
            <w:fldChar w:fldCharType="end"/>
          </w:r>
        </w:p>
      </w:sdtContent>
    </w:sdt>
    <w:p>
      <w:pPr>
        <w:pStyle w:val="2"/>
        <w:numPr>
          <w:ilvl w:val="0"/>
          <w:numId w:val="0"/>
        </w:numPr>
        <w:rPr>
          <w:rFonts w:ascii="宋体" w:hAnsi="宋体" w:cs="宋体"/>
          <w:sz w:val="30"/>
          <w:szCs w:val="30"/>
        </w:rPr>
      </w:pPr>
      <w:bookmarkStart w:id="12" w:name="_Toc8081"/>
      <w:bookmarkStart w:id="13" w:name="_Toc22797"/>
      <w:bookmarkStart w:id="14" w:name="_Toc21694"/>
      <w:r>
        <w:rPr>
          <w:rFonts w:hint="eastAsia" w:ascii="宋体" w:hAnsi="宋体" w:cs="宋体"/>
          <w:sz w:val="30"/>
          <w:szCs w:val="30"/>
          <w:lang w:val="en-US" w:eastAsia="zh-CN"/>
        </w:rPr>
        <w:t>1、</w:t>
      </w:r>
      <w:r>
        <w:rPr>
          <w:rFonts w:hint="eastAsia" w:ascii="宋体" w:hAnsi="宋体" w:cs="宋体"/>
          <w:sz w:val="30"/>
          <w:szCs w:val="30"/>
        </w:rPr>
        <w:t>项目验收概况</w:t>
      </w:r>
      <w:bookmarkEnd w:id="12"/>
      <w:bookmarkEnd w:id="13"/>
      <w:bookmarkEnd w:id="14"/>
    </w:p>
    <w:p>
      <w:pPr>
        <w:pStyle w:val="4"/>
        <w:rPr>
          <w:rFonts w:ascii="宋体" w:hAnsi="宋体" w:eastAsia="宋体" w:cs="宋体"/>
          <w:sz w:val="28"/>
          <w:szCs w:val="28"/>
        </w:rPr>
      </w:pPr>
      <w:bookmarkStart w:id="15" w:name="_Toc4337"/>
      <w:bookmarkStart w:id="16" w:name="_Toc16387"/>
      <w:bookmarkStart w:id="17" w:name="_Toc6066"/>
      <w:r>
        <w:rPr>
          <w:rFonts w:hint="eastAsia" w:ascii="宋体" w:hAnsi="宋体" w:eastAsia="宋体" w:cs="宋体"/>
          <w:sz w:val="28"/>
          <w:szCs w:val="28"/>
        </w:rPr>
        <w:t>1.1</w:t>
      </w:r>
      <w:r>
        <w:rPr>
          <w:rFonts w:hint="eastAsia" w:ascii="宋体" w:hAnsi="宋体" w:eastAsia="宋体" w:cs="宋体"/>
          <w:sz w:val="28"/>
          <w:szCs w:val="28"/>
          <w:lang w:eastAsia="zh-CN"/>
        </w:rPr>
        <w:t>、</w:t>
      </w:r>
      <w:r>
        <w:rPr>
          <w:rFonts w:hint="eastAsia" w:ascii="宋体" w:hAnsi="宋体" w:eastAsia="宋体" w:cs="宋体"/>
          <w:sz w:val="28"/>
          <w:szCs w:val="28"/>
        </w:rPr>
        <w:t>项目基本情况</w:t>
      </w:r>
      <w:bookmarkEnd w:id="15"/>
      <w:bookmarkEnd w:id="16"/>
      <w:bookmarkEnd w:id="17"/>
    </w:p>
    <w:p>
      <w:pPr>
        <w:spacing w:line="360" w:lineRule="auto"/>
        <w:ind w:left="0" w:leftChars="0" w:firstLine="0" w:firstLineChars="0"/>
        <w:rPr>
          <w:rFonts w:hint="eastAsia" w:ascii="宋体" w:hAnsi="宋体" w:eastAsia="宋体" w:cs="宋体"/>
          <w:lang w:eastAsia="zh-CN"/>
        </w:rPr>
      </w:pPr>
      <w:r>
        <w:rPr>
          <w:rFonts w:hint="eastAsia" w:ascii="宋体" w:hAnsi="宋体" w:eastAsia="宋体" w:cs="宋体"/>
        </w:rPr>
        <w:t>项目名称：</w:t>
      </w:r>
      <w:r>
        <w:rPr>
          <w:rFonts w:hint="eastAsia" w:asciiTheme="minorEastAsia" w:hAnsiTheme="minorEastAsia" w:eastAsiaTheme="minorEastAsia"/>
          <w:lang w:eastAsia="zh-CN"/>
        </w:rPr>
        <w:t>浙江铭泽</w:t>
      </w:r>
      <w:r>
        <w:rPr>
          <w:rFonts w:hint="eastAsia" w:asciiTheme="minorEastAsia" w:hAnsiTheme="minorEastAsia" w:eastAsiaTheme="minorEastAsia"/>
          <w:lang w:val="en-US" w:eastAsia="zh-CN"/>
        </w:rPr>
        <w:t>农牧发展</w:t>
      </w:r>
      <w:r>
        <w:rPr>
          <w:rFonts w:hint="eastAsia" w:asciiTheme="minorEastAsia" w:hAnsiTheme="minorEastAsia" w:eastAsiaTheme="minorEastAsia"/>
          <w:lang w:eastAsia="zh-CN"/>
        </w:rPr>
        <w:t>有限公司衢江区铭泽公司肉牛养殖项目；</w:t>
      </w:r>
    </w:p>
    <w:p>
      <w:pPr>
        <w:spacing w:line="360" w:lineRule="auto"/>
        <w:ind w:left="0" w:leftChars="0" w:firstLine="0" w:firstLineChars="0"/>
        <w:rPr>
          <w:rFonts w:hint="eastAsia" w:ascii="宋体" w:hAnsi="宋体" w:eastAsia="宋体" w:cs="宋体"/>
          <w:lang w:eastAsia="zh-CN"/>
        </w:rPr>
      </w:pPr>
      <w:r>
        <w:rPr>
          <w:rFonts w:hint="eastAsia" w:ascii="宋体" w:hAnsi="宋体" w:eastAsia="宋体" w:cs="宋体"/>
        </w:rPr>
        <w:t>项目性质：新建</w:t>
      </w:r>
      <w:r>
        <w:rPr>
          <w:rFonts w:hint="eastAsia" w:ascii="宋体" w:hAnsi="宋体" w:eastAsia="宋体" w:cs="宋体"/>
          <w:lang w:eastAsia="zh-CN"/>
        </w:rPr>
        <w:t>；</w:t>
      </w:r>
    </w:p>
    <w:p>
      <w:pPr>
        <w:spacing w:line="360" w:lineRule="auto"/>
        <w:ind w:left="0" w:leftChars="0" w:firstLine="0" w:firstLineChars="0"/>
        <w:rPr>
          <w:rFonts w:ascii="宋体" w:hAnsi="宋体" w:eastAsia="宋体" w:cs="宋体"/>
        </w:rPr>
      </w:pPr>
      <w:r>
        <w:rPr>
          <w:rFonts w:hint="eastAsia" w:ascii="宋体" w:hAnsi="宋体" w:eastAsia="宋体" w:cs="宋体"/>
        </w:rPr>
        <w:t>建设单位：</w:t>
      </w:r>
      <w:r>
        <w:rPr>
          <w:rFonts w:hint="eastAsia" w:asciiTheme="minorEastAsia" w:hAnsiTheme="minorEastAsia" w:eastAsiaTheme="minorEastAsia"/>
          <w:lang w:eastAsia="zh-CN"/>
        </w:rPr>
        <w:t>浙江铭泽</w:t>
      </w:r>
      <w:r>
        <w:rPr>
          <w:rFonts w:hint="eastAsia" w:asciiTheme="minorEastAsia" w:hAnsiTheme="minorEastAsia" w:eastAsiaTheme="minorEastAsia"/>
          <w:lang w:val="en-US" w:eastAsia="zh-CN"/>
        </w:rPr>
        <w:t>农牧发展</w:t>
      </w:r>
      <w:r>
        <w:rPr>
          <w:rFonts w:hint="eastAsia" w:asciiTheme="minorEastAsia" w:hAnsiTheme="minorEastAsia" w:eastAsiaTheme="minorEastAsia"/>
          <w:lang w:eastAsia="zh-CN"/>
        </w:rPr>
        <w:t>有限公司；</w:t>
      </w:r>
    </w:p>
    <w:p>
      <w:pPr>
        <w:spacing w:line="360" w:lineRule="auto"/>
        <w:ind w:left="0" w:leftChars="0" w:firstLine="0" w:firstLineChars="0"/>
        <w:rPr>
          <w:rFonts w:hint="eastAsia" w:asciiTheme="minorEastAsia" w:hAnsiTheme="minorEastAsia" w:eastAsiaTheme="minorEastAsia" w:cstheme="minorEastAsia"/>
          <w:lang w:val="en-US" w:eastAsia="zh-CN"/>
        </w:rPr>
      </w:pPr>
      <w:r>
        <w:rPr>
          <w:rFonts w:hint="eastAsia" w:ascii="宋体" w:hAnsi="宋体" w:eastAsia="宋体" w:cs="宋体"/>
        </w:rPr>
        <w:t>建设地点：</w:t>
      </w:r>
      <w:r>
        <w:rPr>
          <w:rFonts w:hint="eastAsia" w:asciiTheme="minorEastAsia" w:hAnsiTheme="minorEastAsia" w:eastAsiaTheme="minorEastAsia" w:cstheme="minorEastAsia"/>
          <w:lang w:val="en-US" w:eastAsia="zh-CN"/>
        </w:rPr>
        <w:t>衢州市衢江区黄毛畈村黄巴拢附近的山地、林地；</w:t>
      </w:r>
    </w:p>
    <w:p>
      <w:pPr>
        <w:spacing w:line="360" w:lineRule="auto"/>
        <w:ind w:left="0" w:leftChars="0" w:firstLine="0" w:firstLineChars="0"/>
        <w:rPr>
          <w:rFonts w:hint="default"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建设内容：审批规模新建栏舍27栋，采用封闭式管理，建设标准化肉牛养殖场，建成后形成存栏2000头肉牛，年出栏2000头肉牛的生产规模；一期建设规模年出栏800头肉牛的生产规模；</w:t>
      </w:r>
    </w:p>
    <w:p>
      <w:pPr>
        <w:spacing w:line="360" w:lineRule="auto"/>
        <w:ind w:left="0" w:leftChars="0" w:firstLine="0" w:firstLineChars="0"/>
        <w:rPr>
          <w:rFonts w:hint="eastAsia" w:ascii="宋体" w:hAnsi="宋体" w:eastAsia="宋体" w:cs="宋体"/>
          <w:lang w:eastAsia="zh-CN"/>
        </w:rPr>
      </w:pPr>
      <w:r>
        <w:rPr>
          <w:rFonts w:hint="eastAsia" w:ascii="宋体" w:hAnsi="宋体" w:eastAsia="宋体" w:cs="宋体"/>
        </w:rPr>
        <w:t>建设起止年限：</w:t>
      </w:r>
      <w:r>
        <w:rPr>
          <w:rFonts w:ascii="宋体" w:hAnsi="宋体" w:eastAsia="宋体" w:cs="宋体"/>
        </w:rPr>
        <w:t>20</w:t>
      </w:r>
      <w:r>
        <w:rPr>
          <w:rFonts w:hint="eastAsia" w:ascii="宋体" w:hAnsi="宋体" w:eastAsia="宋体" w:cs="宋体"/>
          <w:lang w:val="en-US" w:eastAsia="zh-CN"/>
        </w:rPr>
        <w:t>21</w:t>
      </w:r>
      <w:r>
        <w:rPr>
          <w:rFonts w:hint="eastAsia" w:ascii="宋体" w:hAnsi="宋体" w:eastAsia="宋体" w:cs="宋体"/>
        </w:rPr>
        <w:t>年</w:t>
      </w:r>
      <w:r>
        <w:rPr>
          <w:rFonts w:hint="eastAsia" w:ascii="宋体" w:hAnsi="宋体" w:eastAsia="宋体" w:cs="宋体"/>
          <w:lang w:val="en-US" w:eastAsia="zh-CN"/>
        </w:rPr>
        <w:t>10</w:t>
      </w:r>
      <w:r>
        <w:rPr>
          <w:rFonts w:hint="eastAsia" w:ascii="宋体" w:hAnsi="宋体" w:eastAsia="宋体" w:cs="宋体"/>
        </w:rPr>
        <w:t>月至</w:t>
      </w:r>
      <w:r>
        <w:rPr>
          <w:rFonts w:ascii="宋体" w:hAnsi="宋体" w:eastAsia="宋体" w:cs="宋体"/>
        </w:rPr>
        <w:t>20</w:t>
      </w:r>
      <w:r>
        <w:rPr>
          <w:rFonts w:hint="eastAsia" w:ascii="宋体" w:hAnsi="宋体" w:eastAsia="宋体" w:cs="宋体"/>
          <w:lang w:val="en-US" w:eastAsia="zh-CN"/>
        </w:rPr>
        <w:t>22</w:t>
      </w:r>
      <w:r>
        <w:rPr>
          <w:rFonts w:hint="eastAsia" w:ascii="宋体" w:hAnsi="宋体" w:eastAsia="宋体" w:cs="宋体"/>
        </w:rPr>
        <w:t>年</w:t>
      </w:r>
      <w:r>
        <w:rPr>
          <w:rFonts w:ascii="宋体" w:hAnsi="宋体" w:eastAsia="宋体" w:cs="宋体"/>
        </w:rPr>
        <w:t>8</w:t>
      </w:r>
      <w:r>
        <w:rPr>
          <w:rFonts w:hint="eastAsia" w:ascii="宋体" w:hAnsi="宋体" w:eastAsia="宋体" w:cs="宋体"/>
        </w:rPr>
        <w:t>月</w:t>
      </w:r>
      <w:r>
        <w:rPr>
          <w:rFonts w:hint="eastAsia" w:ascii="宋体" w:hAnsi="宋体" w:eastAsia="宋体" w:cs="宋体"/>
          <w:lang w:eastAsia="zh-CN"/>
        </w:rPr>
        <w:t>（</w:t>
      </w:r>
      <w:r>
        <w:rPr>
          <w:rFonts w:hint="eastAsia" w:ascii="宋体" w:hAnsi="宋体" w:eastAsia="宋体" w:cs="宋体"/>
          <w:lang w:val="en-US" w:eastAsia="zh-CN"/>
        </w:rPr>
        <w:t>原计划</w:t>
      </w:r>
      <w:r>
        <w:rPr>
          <w:rFonts w:hint="eastAsia" w:ascii="宋体" w:hAnsi="宋体" w:eastAsia="宋体" w:cs="宋体"/>
          <w:lang w:eastAsia="zh-CN"/>
        </w:rPr>
        <w:t>）；</w:t>
      </w:r>
    </w:p>
    <w:p>
      <w:pPr>
        <w:pStyle w:val="4"/>
        <w:rPr>
          <w:rFonts w:ascii="宋体" w:hAnsi="宋体" w:eastAsia="宋体" w:cs="宋体"/>
          <w:sz w:val="28"/>
          <w:szCs w:val="28"/>
        </w:rPr>
      </w:pPr>
      <w:bookmarkStart w:id="18" w:name="_Toc136"/>
      <w:bookmarkStart w:id="19" w:name="_Toc13183"/>
      <w:bookmarkStart w:id="20" w:name="_Toc12836"/>
      <w:r>
        <w:rPr>
          <w:rFonts w:hint="eastAsia" w:ascii="宋体" w:hAnsi="宋体" w:eastAsia="宋体" w:cs="宋体"/>
          <w:sz w:val="28"/>
          <w:szCs w:val="28"/>
        </w:rPr>
        <w:t>1.2</w:t>
      </w:r>
      <w:r>
        <w:rPr>
          <w:rFonts w:hint="eastAsia" w:ascii="宋体" w:hAnsi="宋体" w:eastAsia="宋体" w:cs="宋体"/>
          <w:sz w:val="28"/>
          <w:szCs w:val="28"/>
          <w:lang w:eastAsia="zh-CN"/>
        </w:rPr>
        <w:t>、</w:t>
      </w:r>
      <w:r>
        <w:rPr>
          <w:rFonts w:hint="eastAsia" w:ascii="宋体" w:hAnsi="宋体" w:eastAsia="宋体" w:cs="宋体"/>
          <w:sz w:val="28"/>
          <w:szCs w:val="28"/>
        </w:rPr>
        <w:t>项目建设过程</w:t>
      </w:r>
      <w:bookmarkEnd w:id="18"/>
      <w:bookmarkEnd w:id="19"/>
      <w:bookmarkEnd w:id="20"/>
    </w:p>
    <w:p>
      <w:pPr>
        <w:keepNext w:val="0"/>
        <w:keepLines w:val="0"/>
        <w:widowControl/>
        <w:suppressLineNumbers w:val="0"/>
        <w:ind w:left="0" w:leftChars="0" w:firstLine="480" w:firstLineChars="200"/>
        <w:jc w:val="left"/>
        <w:rPr>
          <w:b w:val="0"/>
          <w:bCs w:val="0"/>
          <w:sz w:val="24"/>
          <w:szCs w:val="24"/>
        </w:rPr>
      </w:pPr>
      <w:r>
        <w:rPr>
          <w:rFonts w:hint="eastAsia" w:ascii="宋体" w:hAnsi="宋体" w:eastAsia="宋体" w:cs="宋体"/>
          <w:lang w:eastAsia="zh-CN"/>
        </w:rPr>
        <w:t>浙江铭泽农牧发展有限公司</w:t>
      </w:r>
      <w:r>
        <w:rPr>
          <w:rFonts w:hint="eastAsia" w:ascii="宋体" w:hAnsi="宋体" w:eastAsia="宋体" w:cs="宋体"/>
        </w:rPr>
        <w:t>于20</w:t>
      </w:r>
      <w:r>
        <w:rPr>
          <w:rFonts w:hint="eastAsia" w:ascii="宋体" w:hAnsi="宋体" w:eastAsia="宋体" w:cs="宋体"/>
          <w:lang w:val="en-US" w:eastAsia="zh-CN"/>
        </w:rPr>
        <w:t>21</w:t>
      </w:r>
      <w:r>
        <w:rPr>
          <w:rFonts w:hint="eastAsia" w:ascii="宋体" w:hAnsi="宋体" w:eastAsia="宋体" w:cs="宋体"/>
        </w:rPr>
        <w:t>年5月委托</w:t>
      </w:r>
      <w:r>
        <w:rPr>
          <w:rFonts w:hint="eastAsia" w:ascii="宋体" w:hAnsi="宋体" w:eastAsia="宋体" w:cs="宋体"/>
          <w:lang w:val="en-US" w:eastAsia="zh-CN"/>
        </w:rPr>
        <w:t xml:space="preserve"> </w:t>
      </w:r>
      <w:r>
        <w:rPr>
          <w:rFonts w:hint="eastAsia" w:ascii="宋体" w:hAnsi="宋体" w:eastAsia="宋体" w:cs="宋体"/>
          <w:b w:val="0"/>
          <w:bCs w:val="0"/>
          <w:color w:val="000000"/>
          <w:kern w:val="0"/>
          <w:sz w:val="24"/>
          <w:szCs w:val="24"/>
          <w:lang w:val="en-US" w:eastAsia="zh-CN" w:bidi="ar"/>
        </w:rPr>
        <w:t>浙江翠金环境科技有限公司</w:t>
      </w:r>
    </w:p>
    <w:p>
      <w:pPr>
        <w:spacing w:line="360" w:lineRule="auto"/>
        <w:ind w:left="0" w:leftChars="0" w:firstLine="0" w:firstLineChars="0"/>
        <w:rPr>
          <w:rFonts w:hint="eastAsia" w:ascii="宋体" w:hAnsi="宋体" w:eastAsia="宋体" w:cs="宋体"/>
        </w:rPr>
      </w:pPr>
      <w:r>
        <w:rPr>
          <w:rFonts w:hint="eastAsia" w:ascii="宋体" w:hAnsi="宋体" w:eastAsia="宋体" w:cs="宋体"/>
        </w:rPr>
        <w:t>编制了《</w:t>
      </w:r>
      <w:r>
        <w:rPr>
          <w:rFonts w:hint="eastAsia" w:asciiTheme="minorEastAsia" w:hAnsiTheme="minorEastAsia" w:eastAsiaTheme="minorEastAsia"/>
          <w:lang w:eastAsia="zh-CN"/>
        </w:rPr>
        <w:t>浙江铭泽农牧发展有限公司衢江区铭泽公司肉牛养殖项目环境影响报告书</w:t>
      </w:r>
      <w:r>
        <w:rPr>
          <w:rFonts w:hint="eastAsia" w:ascii="宋体" w:hAnsi="宋体" w:eastAsia="宋体" w:cs="宋体"/>
        </w:rPr>
        <w:t>》；于20</w:t>
      </w:r>
      <w:r>
        <w:rPr>
          <w:rFonts w:hint="eastAsia" w:ascii="宋体" w:hAnsi="宋体" w:eastAsia="宋体" w:cs="宋体"/>
          <w:lang w:val="en-US" w:eastAsia="zh-CN"/>
        </w:rPr>
        <w:t>21</w:t>
      </w:r>
      <w:r>
        <w:rPr>
          <w:rFonts w:hint="eastAsia" w:ascii="宋体" w:hAnsi="宋体" w:eastAsia="宋体" w:cs="宋体"/>
        </w:rPr>
        <w:t>年</w:t>
      </w:r>
      <w:r>
        <w:rPr>
          <w:rFonts w:hint="eastAsia" w:ascii="宋体" w:hAnsi="宋体" w:eastAsia="宋体" w:cs="宋体"/>
          <w:lang w:val="en-US" w:eastAsia="zh-CN"/>
        </w:rPr>
        <w:t>10</w:t>
      </w:r>
      <w:r>
        <w:rPr>
          <w:rFonts w:hint="eastAsia" w:ascii="宋体" w:hAnsi="宋体" w:eastAsia="宋体" w:cs="宋体"/>
        </w:rPr>
        <w:t>月取得</w:t>
      </w:r>
      <w:r>
        <w:rPr>
          <w:rFonts w:hint="eastAsia" w:ascii="宋体" w:hAnsi="宋体" w:eastAsia="宋体" w:cs="宋体"/>
          <w:lang w:val="en-US" w:eastAsia="zh-CN"/>
        </w:rPr>
        <w:t>衢州市生态环境局衢江区生态</w:t>
      </w:r>
      <w:r>
        <w:rPr>
          <w:rFonts w:hint="eastAsia" w:ascii="宋体" w:hAnsi="宋体" w:eastAsia="宋体" w:cs="宋体"/>
        </w:rPr>
        <w:t>环境保护</w:t>
      </w:r>
      <w:r>
        <w:rPr>
          <w:rFonts w:hint="eastAsia" w:ascii="宋体" w:hAnsi="宋体" w:eastAsia="宋体" w:cs="宋体"/>
          <w:lang w:val="en-US" w:eastAsia="zh-CN"/>
        </w:rPr>
        <w:t>分</w:t>
      </w:r>
      <w:r>
        <w:rPr>
          <w:rFonts w:hint="eastAsia" w:ascii="宋体" w:hAnsi="宋体" w:eastAsia="宋体" w:cs="宋体"/>
        </w:rPr>
        <w:t>局文件：关于《</w:t>
      </w:r>
      <w:r>
        <w:rPr>
          <w:rFonts w:hint="eastAsia" w:asciiTheme="minorEastAsia" w:hAnsiTheme="minorEastAsia" w:eastAsiaTheme="minorEastAsia"/>
          <w:lang w:eastAsia="zh-CN"/>
        </w:rPr>
        <w:t>浙江铭泽农牧发展有限公司衢江区铭泽公司肉牛养殖项目环境影响报告书</w:t>
      </w:r>
      <w:r>
        <w:rPr>
          <w:rFonts w:hint="eastAsia" w:ascii="宋体" w:hAnsi="宋体" w:eastAsia="宋体" w:cs="宋体"/>
        </w:rPr>
        <w:t>》的审查意见（</w:t>
      </w:r>
      <w:r>
        <w:rPr>
          <w:rFonts w:hint="eastAsia" w:ascii="宋体" w:hAnsi="宋体" w:eastAsia="宋体" w:cs="宋体"/>
          <w:lang w:val="en-US" w:eastAsia="zh-CN"/>
        </w:rPr>
        <w:t>衢</w:t>
      </w:r>
      <w:r>
        <w:rPr>
          <w:rFonts w:hint="eastAsia" w:ascii="宋体" w:hAnsi="宋体" w:eastAsia="宋体" w:cs="宋体"/>
        </w:rPr>
        <w:t>江环建[20</w:t>
      </w:r>
      <w:r>
        <w:rPr>
          <w:rFonts w:hint="eastAsia" w:ascii="宋体" w:hAnsi="宋体" w:eastAsia="宋体" w:cs="宋体"/>
          <w:lang w:val="en-US" w:eastAsia="zh-CN"/>
        </w:rPr>
        <w:t>21</w:t>
      </w:r>
      <w:r>
        <w:rPr>
          <w:rFonts w:hint="eastAsia" w:ascii="宋体" w:hAnsi="宋体" w:eastAsia="宋体" w:cs="宋体"/>
        </w:rPr>
        <w:t>]35号），同意项目建设。</w:t>
      </w:r>
    </w:p>
    <w:p>
      <w:pPr>
        <w:keepNext w:val="0"/>
        <w:keepLines w:val="0"/>
        <w:widowControl w:val="0"/>
        <w:suppressLineNumbers w:val="0"/>
        <w:spacing w:before="0" w:beforeAutospacing="0" w:after="0" w:afterAutospacing="0" w:line="360" w:lineRule="auto"/>
        <w:ind w:right="0"/>
        <w:jc w:val="both"/>
      </w:pPr>
      <w:bookmarkStart w:id="21" w:name="_Toc26382"/>
      <w:r>
        <w:rPr>
          <w:rFonts w:hint="eastAsia" w:asciiTheme="minorEastAsia" w:hAnsiTheme="minorEastAsia" w:eastAsiaTheme="minorEastAsia"/>
          <w:lang w:eastAsia="zh-CN"/>
        </w:rPr>
        <w:t>衢江区铭泽公司肉牛养殖</w:t>
      </w:r>
      <w:r>
        <w:rPr>
          <w:rFonts w:hint="eastAsia" w:asciiTheme="minorEastAsia" w:hAnsiTheme="minorEastAsia" w:eastAsiaTheme="minorEastAsia" w:cstheme="minorEastAsia"/>
          <w:lang w:val="en-US" w:eastAsia="zh-CN"/>
        </w:rPr>
        <w:t>建设项</w:t>
      </w:r>
      <w:r>
        <w:rPr>
          <w:rFonts w:hint="eastAsia" w:asciiTheme="minorEastAsia" w:hAnsiTheme="minorEastAsia" w:eastAsiaTheme="minorEastAsia" w:cstheme="minorEastAsia"/>
          <w:lang w:eastAsia="zh-CN"/>
        </w:rPr>
        <w:t>目</w:t>
      </w:r>
      <w:r>
        <w:rPr>
          <w:rFonts w:hint="eastAsia" w:asciiTheme="minorEastAsia" w:hAnsiTheme="minorEastAsia" w:eastAsiaTheme="minorEastAsia" w:cstheme="minorEastAsia"/>
          <w:lang w:val="en-US" w:eastAsia="zh-CN"/>
        </w:rPr>
        <w:t>于2021年10 月正式开工建设，由于受疫情、市场等因素影响，项目进度推迟，同时公司决定分期建设，一期工程建设栏舍10栋，存栏和出栏肉牛量800头。于2023年5月建成试运行。根据国务院令第682号《国务院关于修改（建设项目环境保护管理条例）的决定》 、国环规环评[2017]4号《建设项目竣工环境保护验收暂行办法》及附件《建设项目环境保护设施竣工验收监测技术要求（试行）》等文件规定和有关要求，</w:t>
      </w:r>
      <w:r>
        <w:rPr>
          <w:rFonts w:hint="eastAsia" w:asciiTheme="minorEastAsia" w:hAnsiTheme="minorEastAsia" w:eastAsiaTheme="minorEastAsia"/>
          <w:lang w:eastAsia="zh-CN"/>
        </w:rPr>
        <w:t>浙江铭泽</w:t>
      </w:r>
      <w:r>
        <w:rPr>
          <w:rFonts w:hint="eastAsia" w:asciiTheme="minorEastAsia" w:hAnsiTheme="minorEastAsia" w:eastAsiaTheme="minorEastAsia"/>
          <w:lang w:val="en-US" w:eastAsia="zh-CN"/>
        </w:rPr>
        <w:t>农牧发展</w:t>
      </w:r>
      <w:r>
        <w:rPr>
          <w:rFonts w:hint="eastAsia" w:asciiTheme="minorEastAsia" w:hAnsiTheme="minorEastAsia" w:eastAsiaTheme="minorEastAsia"/>
          <w:lang w:eastAsia="zh-CN"/>
        </w:rPr>
        <w:t>有限公司</w:t>
      </w:r>
      <w:r>
        <w:rPr>
          <w:rFonts w:hint="eastAsia" w:asciiTheme="minorEastAsia" w:hAnsiTheme="minorEastAsia" w:eastAsiaTheme="minorEastAsia" w:cstheme="minorEastAsia"/>
          <w:lang w:val="en-US" w:eastAsia="zh-CN"/>
        </w:rPr>
        <w:t>（以下简称“建设单位”）委托杭州华安节能环保科技有限公司承担</w:t>
      </w:r>
      <w:r>
        <w:rPr>
          <w:rFonts w:hint="eastAsia" w:asciiTheme="minorEastAsia" w:hAnsiTheme="minorEastAsia" w:eastAsiaTheme="minorEastAsia"/>
          <w:lang w:eastAsia="zh-CN"/>
        </w:rPr>
        <w:t>浙江铭泽</w:t>
      </w:r>
      <w:r>
        <w:rPr>
          <w:rFonts w:hint="eastAsia" w:asciiTheme="minorEastAsia" w:hAnsiTheme="minorEastAsia" w:eastAsiaTheme="minorEastAsia"/>
          <w:lang w:val="en-US" w:eastAsia="zh-CN"/>
        </w:rPr>
        <w:t>农牧发展</w:t>
      </w:r>
      <w:r>
        <w:rPr>
          <w:rFonts w:hint="eastAsia" w:asciiTheme="minorEastAsia" w:hAnsiTheme="minorEastAsia" w:eastAsiaTheme="minorEastAsia"/>
          <w:lang w:eastAsia="zh-CN"/>
        </w:rPr>
        <w:t>有限公司衢江区铭泽公司肉牛养殖</w:t>
      </w:r>
      <w:r>
        <w:rPr>
          <w:rFonts w:hint="eastAsia" w:asciiTheme="minorEastAsia" w:hAnsiTheme="minorEastAsia" w:eastAsiaTheme="minorEastAsia" w:cstheme="minorEastAsia"/>
          <w:lang w:val="en-US" w:eastAsia="zh-CN"/>
        </w:rPr>
        <w:t>一期建设项</w:t>
      </w:r>
      <w:r>
        <w:rPr>
          <w:rFonts w:hint="eastAsia" w:asciiTheme="minorEastAsia" w:hAnsiTheme="minorEastAsia" w:eastAsiaTheme="minorEastAsia" w:cstheme="minorEastAsia"/>
          <w:lang w:eastAsia="zh-CN"/>
        </w:rPr>
        <w:t>目</w:t>
      </w:r>
      <w:r>
        <w:rPr>
          <w:rFonts w:hint="eastAsia" w:asciiTheme="minorEastAsia" w:hAnsiTheme="minorEastAsia" w:eastAsiaTheme="minorEastAsia" w:cstheme="minorEastAsia"/>
          <w:lang w:val="en-US" w:eastAsia="zh-CN"/>
        </w:rPr>
        <w:t>（以下 简称“本项目”）竣工环境保护验收调查工作。接受委托后，杭州华安节能环保科技有限公司对项目现场及所在区域环境状况进行了初步踏勘，并制定了本项目竣工环境保护（一期）验收调查的实施方案，于2023年 9月13日至2023年9月14日完成了本项目污染物排放状况监测工作。在完成上述工作的基础上，结合项目工程现有资料，编制完成《</w:t>
      </w:r>
      <w:r>
        <w:rPr>
          <w:rFonts w:hint="eastAsia" w:asciiTheme="minorEastAsia" w:hAnsiTheme="minorEastAsia" w:eastAsiaTheme="minorEastAsia"/>
          <w:lang w:eastAsia="zh-CN"/>
        </w:rPr>
        <w:t>浙江铭泽</w:t>
      </w:r>
      <w:r>
        <w:rPr>
          <w:rFonts w:hint="eastAsia" w:asciiTheme="minorEastAsia" w:hAnsiTheme="minorEastAsia" w:eastAsiaTheme="minorEastAsia"/>
          <w:lang w:val="en-US" w:eastAsia="zh-CN"/>
        </w:rPr>
        <w:t>农牧发展</w:t>
      </w:r>
      <w:r>
        <w:rPr>
          <w:rFonts w:hint="eastAsia" w:asciiTheme="minorEastAsia" w:hAnsiTheme="minorEastAsia" w:eastAsiaTheme="minorEastAsia"/>
          <w:lang w:eastAsia="zh-CN"/>
        </w:rPr>
        <w:t>有限公司衢江区铭泽公司肉牛养殖项目（</w:t>
      </w:r>
      <w:r>
        <w:rPr>
          <w:rFonts w:hint="eastAsia" w:asciiTheme="minorEastAsia" w:hAnsiTheme="minorEastAsia" w:eastAsiaTheme="minorEastAsia"/>
          <w:lang w:val="en-US" w:eastAsia="zh-CN"/>
        </w:rPr>
        <w:t>一期</w:t>
      </w:r>
      <w:r>
        <w:rPr>
          <w:rFonts w:hint="eastAsia" w:asciiTheme="minorEastAsia" w:hAnsiTheme="minorEastAsia" w:eastAsiaTheme="minorEastAsia"/>
          <w:lang w:eastAsia="zh-CN"/>
        </w:rPr>
        <w:t>）</w:t>
      </w:r>
      <w:r>
        <w:rPr>
          <w:rFonts w:hint="eastAsia" w:asciiTheme="minorEastAsia" w:hAnsiTheme="minorEastAsia" w:eastAsiaTheme="minorEastAsia"/>
          <w:lang w:val="en-US" w:eastAsia="zh-CN"/>
        </w:rPr>
        <w:t>的竣工环境保护验收</w:t>
      </w:r>
      <w:r>
        <w:rPr>
          <w:rFonts w:hint="eastAsia" w:asciiTheme="minorEastAsia" w:hAnsiTheme="minorEastAsia" w:eastAsiaTheme="minorEastAsia" w:cstheme="minorEastAsia"/>
          <w:b w:val="0"/>
          <w:bCs w:val="0"/>
          <w:kern w:val="2"/>
          <w:sz w:val="24"/>
          <w:szCs w:val="24"/>
          <w:lang w:val="en-US" w:eastAsia="zh-CN" w:bidi="ar"/>
        </w:rPr>
        <w:t>报告》。</w:t>
      </w:r>
    </w:p>
    <w:p>
      <w:pPr>
        <w:pStyle w:val="4"/>
        <w:rPr>
          <w:rFonts w:hint="eastAsia" w:ascii="宋体" w:hAnsi="宋体" w:eastAsia="宋体" w:cs="宋体"/>
          <w:sz w:val="28"/>
          <w:szCs w:val="28"/>
          <w:lang w:val="en-US" w:eastAsia="zh-CN"/>
        </w:rPr>
      </w:pPr>
      <w:bookmarkStart w:id="22" w:name="_Toc32361"/>
      <w:bookmarkStart w:id="23" w:name="_Toc17362"/>
      <w:r>
        <w:rPr>
          <w:rFonts w:hint="eastAsia" w:ascii="宋体" w:hAnsi="宋体" w:eastAsia="宋体" w:cs="宋体"/>
          <w:sz w:val="28"/>
          <w:szCs w:val="28"/>
          <w:lang w:val="en-US" w:eastAsia="zh-CN"/>
        </w:rPr>
        <w:t>1.3、本次验收说明</w:t>
      </w:r>
      <w:bookmarkEnd w:id="22"/>
    </w:p>
    <w:p>
      <w:pPr>
        <w:numPr>
          <w:ilvl w:val="0"/>
          <w:numId w:val="2"/>
        </w:numPr>
        <w:spacing w:line="360" w:lineRule="auto"/>
        <w:ind w:left="0" w:leftChars="0" w:firstLine="480" w:firstLineChars="200"/>
        <w:rPr>
          <w:rFonts w:hint="eastAsia" w:ascii="宋体" w:hAnsi="宋体" w:eastAsia="宋体" w:cs="宋体"/>
        </w:rPr>
      </w:pPr>
      <w:r>
        <w:rPr>
          <w:rFonts w:hint="eastAsia" w:ascii="宋体" w:hAnsi="宋体" w:eastAsia="宋体" w:cs="宋体"/>
          <w:lang w:val="en-US" w:eastAsia="zh-CN"/>
        </w:rPr>
        <w:t>因企业目前存栏饲养肉牛的规模仅为设计存栏数的40%，一些基础设施还没完全完善，故</w:t>
      </w:r>
      <w:r>
        <w:rPr>
          <w:rFonts w:hint="eastAsia" w:ascii="宋体" w:hAnsi="宋体" w:eastAsia="宋体" w:cs="宋体"/>
        </w:rPr>
        <w:t>本次验收</w:t>
      </w:r>
      <w:r>
        <w:rPr>
          <w:rFonts w:hint="eastAsia" w:ascii="宋体" w:hAnsi="宋体" w:eastAsia="宋体" w:cs="宋体"/>
          <w:lang w:val="en-US" w:eastAsia="zh-CN"/>
        </w:rPr>
        <w:t>性质</w:t>
      </w:r>
      <w:r>
        <w:rPr>
          <w:rFonts w:hint="eastAsia" w:ascii="宋体" w:hAnsi="宋体" w:eastAsia="宋体" w:cs="宋体"/>
        </w:rPr>
        <w:t>为</w:t>
      </w:r>
      <w:r>
        <w:rPr>
          <w:rFonts w:hint="default" w:ascii="宋体" w:hAnsi="宋体" w:eastAsia="宋体" w:cs="宋体"/>
        </w:rPr>
        <w:t>：</w:t>
      </w:r>
      <w:r>
        <w:rPr>
          <w:rFonts w:hint="eastAsia" w:asciiTheme="minorEastAsia" w:hAnsiTheme="minorEastAsia" w:eastAsiaTheme="minorEastAsia"/>
          <w:lang w:eastAsia="zh-CN"/>
        </w:rPr>
        <w:t>浙江铭泽</w:t>
      </w:r>
      <w:r>
        <w:rPr>
          <w:rFonts w:hint="eastAsia" w:asciiTheme="minorEastAsia" w:hAnsiTheme="minorEastAsia" w:eastAsiaTheme="minorEastAsia"/>
          <w:lang w:val="en-US" w:eastAsia="zh-CN"/>
        </w:rPr>
        <w:t>农牧发展</w:t>
      </w:r>
      <w:r>
        <w:rPr>
          <w:rFonts w:hint="eastAsia" w:asciiTheme="minorEastAsia" w:hAnsiTheme="minorEastAsia" w:eastAsiaTheme="minorEastAsia"/>
          <w:lang w:eastAsia="zh-CN"/>
        </w:rPr>
        <w:t>有限公司衢江区铭泽公司肉牛养殖项目（</w:t>
      </w:r>
      <w:r>
        <w:rPr>
          <w:rFonts w:hint="eastAsia" w:asciiTheme="minorEastAsia" w:hAnsiTheme="minorEastAsia" w:eastAsiaTheme="minorEastAsia"/>
          <w:lang w:val="en-US" w:eastAsia="zh-CN"/>
        </w:rPr>
        <w:t>一期先行</w:t>
      </w:r>
      <w:r>
        <w:rPr>
          <w:rFonts w:hint="eastAsia" w:asciiTheme="minorEastAsia" w:hAnsiTheme="minorEastAsia" w:eastAsiaTheme="minorEastAsia"/>
          <w:lang w:eastAsia="zh-CN"/>
        </w:rPr>
        <w:t>）</w:t>
      </w:r>
      <w:r>
        <w:rPr>
          <w:rFonts w:hint="eastAsia" w:asciiTheme="minorEastAsia" w:hAnsiTheme="minorEastAsia" w:eastAsiaTheme="minorEastAsia"/>
          <w:lang w:val="en-US" w:eastAsia="zh-CN"/>
        </w:rPr>
        <w:t>的竣工环境保护验收。</w:t>
      </w:r>
    </w:p>
    <w:p>
      <w:pPr>
        <w:pStyle w:val="28"/>
        <w:numPr>
          <w:ilvl w:val="0"/>
          <w:numId w:val="2"/>
        </w:numPr>
        <w:spacing w:line="360" w:lineRule="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企业目前肉牛饲养采用了干清粪工艺，在饲养过程中</w:t>
      </w:r>
      <w:r>
        <w:rPr>
          <w:rFonts w:hint="eastAsia" w:ascii="宋体" w:hAnsi="宋体" w:eastAsia="宋体" w:cs="宋体"/>
          <w:color w:val="000000"/>
          <w:kern w:val="0"/>
          <w:sz w:val="24"/>
          <w:szCs w:val="24"/>
          <w:lang w:val="en-US" w:eastAsia="zh-CN" w:bidi="ar"/>
        </w:rPr>
        <w:t>无需对栏舍进行日常清洗，仅需在每批育成牛换栏、出栏后进行清洗一 次。</w:t>
      </w:r>
      <w:r>
        <w:rPr>
          <w:rFonts w:hint="eastAsia" w:hAnsi="宋体" w:eastAsia="宋体" w:cs="宋体"/>
          <w:color w:val="000000"/>
          <w:kern w:val="0"/>
          <w:sz w:val="24"/>
          <w:szCs w:val="24"/>
          <w:lang w:val="en-US" w:eastAsia="zh-CN" w:bidi="ar"/>
        </w:rPr>
        <w:t>饲养过程中产生的牛</w:t>
      </w:r>
      <w:r>
        <w:rPr>
          <w:rFonts w:hint="eastAsia" w:asciiTheme="minorEastAsia" w:hAnsiTheme="minorEastAsia" w:eastAsiaTheme="minorEastAsia" w:cstheme="minorEastAsia"/>
          <w:color w:val="000000"/>
          <w:kern w:val="0"/>
          <w:sz w:val="24"/>
          <w:szCs w:val="24"/>
          <w:lang w:val="en-US" w:eastAsia="zh-CN" w:bidi="ar"/>
        </w:rPr>
        <w:t>尿</w:t>
      </w:r>
      <w:r>
        <w:rPr>
          <w:rFonts w:hint="eastAsia" w:asciiTheme="minorEastAsia" w:hAnsiTheme="minorEastAsia" w:eastAsiaTheme="minorEastAsia" w:cstheme="minorEastAsia"/>
          <w:color w:val="000000"/>
          <w:kern w:val="0"/>
          <w:sz w:val="24"/>
          <w:szCs w:val="24"/>
          <w:vertAlign w:val="baseline"/>
          <w:lang w:val="en-US" w:eastAsia="zh-CN" w:bidi="ar"/>
        </w:rPr>
        <w:t>直接混入</w:t>
      </w:r>
      <w:r>
        <w:rPr>
          <w:rFonts w:hint="eastAsia" w:asciiTheme="minorEastAsia" w:hAnsiTheme="minorEastAsia" w:eastAsiaTheme="minorEastAsia" w:cstheme="minorEastAsia"/>
          <w:b w:val="0"/>
          <w:bCs w:val="0"/>
          <w:color w:val="000000"/>
          <w:kern w:val="0"/>
          <w:sz w:val="24"/>
          <w:szCs w:val="24"/>
          <w:lang w:val="en-US" w:eastAsia="zh-CN" w:bidi="ar"/>
        </w:rPr>
        <w:t>牛粪便、饲料残渣及杂质中后与牛粪便、饲料残渣及杂质一并委托浙江一海新能源有限公司进行无害化处理，故企业无养殖废水排放。</w:t>
      </w:r>
    </w:p>
    <w:p>
      <w:pPr>
        <w:pStyle w:val="28"/>
        <w:numPr>
          <w:ilvl w:val="0"/>
          <w:numId w:val="0"/>
        </w:numPr>
        <w:spacing w:line="360" w:lineRule="auto"/>
        <w:ind w:firstLine="240" w:firstLineChars="1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3、项目过程中有机肥生产基料的生产工艺进行了变更，按环保管理有关规定要求，履行了项目变更的汇报和协同衢江区生态环境分局进行了现场踏勘，明确了：“</w:t>
      </w:r>
      <w:r>
        <w:rPr>
          <w:rFonts w:hint="eastAsia" w:asciiTheme="minorEastAsia" w:hAnsiTheme="minorEastAsia" w:eastAsiaTheme="minorEastAsia" w:cstheme="minorEastAsia"/>
          <w:b w:val="0"/>
          <w:bCs w:val="0"/>
          <w:sz w:val="24"/>
          <w:szCs w:val="24"/>
          <w:lang w:val="en-US" w:eastAsia="zh-CN"/>
        </w:rPr>
        <w:t>衢江区铭泽公司将</w:t>
      </w:r>
      <w:r>
        <w:rPr>
          <w:rFonts w:hint="eastAsia" w:asciiTheme="minorEastAsia" w:hAnsiTheme="minorEastAsia" w:eastAsiaTheme="minorEastAsia" w:cstheme="minorEastAsia"/>
          <w:b w:val="0"/>
          <w:bCs w:val="0"/>
          <w:color w:val="000000"/>
          <w:kern w:val="0"/>
          <w:sz w:val="24"/>
          <w:szCs w:val="24"/>
          <w:lang w:val="en-US" w:eastAsia="zh-CN" w:bidi="ar"/>
        </w:rPr>
        <w:t>养殖过程中产生的牛粪便、沼渣、饲料残渣及杂质和污泥收集后委托浙江一海新能源有限公司进行无害化处理；因养殖采用了干清粪工艺，饲养过程少量养殖废水混于牛粪和饲料残渣中一并委托处置，企业无养殖废水排放，后续的污水处理设施可暂缓建设”。在此基础上</w:t>
      </w:r>
      <w:r>
        <w:rPr>
          <w:rFonts w:hint="eastAsia" w:asciiTheme="minorEastAsia" w:hAnsiTheme="minorEastAsia" w:eastAsiaTheme="minorEastAsia" w:cstheme="minorEastAsia"/>
          <w:sz w:val="24"/>
          <w:szCs w:val="24"/>
          <w:lang w:eastAsia="zh-CN"/>
        </w:rPr>
        <w:t>浙江铭泽</w:t>
      </w:r>
      <w:r>
        <w:rPr>
          <w:rFonts w:hint="eastAsia" w:asciiTheme="minorEastAsia" w:hAnsiTheme="minorEastAsia" w:eastAsiaTheme="minorEastAsia" w:cstheme="minorEastAsia"/>
          <w:sz w:val="24"/>
          <w:szCs w:val="24"/>
          <w:lang w:val="en-US" w:eastAsia="zh-CN"/>
        </w:rPr>
        <w:t>农牧发展</w:t>
      </w:r>
      <w:r>
        <w:rPr>
          <w:rFonts w:hint="eastAsia" w:asciiTheme="minorEastAsia" w:hAnsiTheme="minorEastAsia" w:eastAsiaTheme="minorEastAsia" w:cstheme="minorEastAsia"/>
          <w:sz w:val="24"/>
          <w:szCs w:val="24"/>
          <w:lang w:eastAsia="zh-CN"/>
        </w:rPr>
        <w:t>有限公司</w:t>
      </w:r>
      <w:r>
        <w:rPr>
          <w:rFonts w:hint="eastAsia" w:asciiTheme="minorEastAsia" w:hAnsiTheme="minorEastAsia" w:eastAsiaTheme="minorEastAsia" w:cstheme="minorEastAsia"/>
          <w:sz w:val="24"/>
          <w:szCs w:val="24"/>
          <w:lang w:val="en-US" w:eastAsia="zh-CN"/>
        </w:rPr>
        <w:t>自行组织了：</w:t>
      </w:r>
      <w:r>
        <w:rPr>
          <w:rFonts w:hint="eastAsia" w:asciiTheme="minorEastAsia" w:hAnsiTheme="minorEastAsia" w:eastAsiaTheme="minorEastAsia" w:cstheme="minorEastAsia"/>
          <w:sz w:val="24"/>
          <w:szCs w:val="24"/>
          <w:lang w:eastAsia="zh-CN"/>
        </w:rPr>
        <w:t>衢江区铭泽公司肉牛养殖（</w:t>
      </w:r>
      <w:r>
        <w:rPr>
          <w:rFonts w:hint="eastAsia" w:asciiTheme="minorEastAsia" w:hAnsiTheme="minorEastAsia" w:eastAsiaTheme="minorEastAsia" w:cstheme="minorEastAsia"/>
          <w:sz w:val="24"/>
          <w:szCs w:val="24"/>
          <w:lang w:val="en-US" w:eastAsia="zh-CN"/>
        </w:rPr>
        <w:t>一期</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项目的竣工环境保护验收工作</w:t>
      </w:r>
      <w:r>
        <w:rPr>
          <w:rFonts w:hint="eastAsia" w:asciiTheme="minorEastAsia" w:hAnsiTheme="minorEastAsia" w:eastAsiaTheme="minorEastAsia" w:cstheme="minorEastAsia"/>
          <w:sz w:val="24"/>
          <w:szCs w:val="24"/>
        </w:rPr>
        <w:t>。</w:t>
      </w:r>
    </w:p>
    <w:p>
      <w:pPr>
        <w:pStyle w:val="4"/>
        <w:rPr>
          <w:rFonts w:hint="default" w:ascii="宋体" w:hAnsi="宋体" w:eastAsia="宋体" w:cs="宋体"/>
          <w:sz w:val="28"/>
          <w:szCs w:val="28"/>
          <w:lang w:val="en-US" w:eastAsia="zh-CN"/>
        </w:rPr>
      </w:pPr>
      <w:bookmarkStart w:id="24" w:name="_Toc10892"/>
      <w:r>
        <w:rPr>
          <w:rFonts w:hint="eastAsia" w:ascii="宋体" w:hAnsi="宋体" w:eastAsia="宋体" w:cs="宋体"/>
          <w:sz w:val="28"/>
          <w:szCs w:val="28"/>
          <w:lang w:val="en-US" w:eastAsia="zh-CN"/>
        </w:rPr>
        <w:t>1.4、项目污染特征</w:t>
      </w:r>
      <w:bookmarkEnd w:id="24"/>
    </w:p>
    <w:p>
      <w:pPr>
        <w:keepNext w:val="0"/>
        <w:keepLines w:val="0"/>
        <w:widowControl/>
        <w:suppressLineNumbers w:val="0"/>
        <w:spacing w:line="360" w:lineRule="auto"/>
        <w:ind w:firstLine="480" w:firstLineChars="200"/>
        <w:jc w:val="left"/>
        <w:rPr>
          <w:rFonts w:hint="eastAsia" w:ascii="宋体" w:hAnsi="宋体" w:eastAsia="宋体" w:cs="宋体"/>
        </w:rPr>
      </w:pPr>
      <w:r>
        <w:rPr>
          <w:rFonts w:hint="eastAsia" w:asciiTheme="minorEastAsia" w:hAnsiTheme="minorEastAsia" w:eastAsiaTheme="minorEastAsia" w:cstheme="minorEastAsia"/>
          <w:color w:val="000000"/>
          <w:kern w:val="0"/>
          <w:sz w:val="24"/>
          <w:szCs w:val="24"/>
          <w:lang w:val="en-US" w:eastAsia="zh-CN" w:bidi="ar"/>
        </w:rPr>
        <w:t>该项目为牧业养殖项目，主要废气污染来源为：饲料加工、栏舍、集粪间和干清粪的外运等途径的产生；废水污染源为：肉牛生长过程中的养殖废水、初期雨水和生活污水等；固体废物为一般废包装材料、塑料膜、饲料残渣及杂质、牛粪、粪渣、病死牛尸体、医疗废物、废机油、废含油抹布及职工生活垃圾等。 项目栏舍采用干清粪工艺，同时加强舍内通风、及时清粪、喷洒除 臭剂、栏舍周围设绿化隔离带等措施，可大幅减少栏舍恶臭气体的排放；项目养殖过程中产生的养殖废水混入牛粪、粪渣和饲料残渣后委托</w:t>
      </w:r>
      <w:r>
        <w:rPr>
          <w:rFonts w:hint="eastAsia" w:asciiTheme="minorEastAsia" w:hAnsiTheme="minorEastAsia" w:eastAsiaTheme="minorEastAsia" w:cstheme="minorEastAsia"/>
          <w:b w:val="0"/>
          <w:bCs w:val="0"/>
          <w:color w:val="000000"/>
          <w:kern w:val="0"/>
          <w:sz w:val="24"/>
          <w:szCs w:val="24"/>
          <w:lang w:val="en-US" w:eastAsia="zh-CN" w:bidi="ar"/>
        </w:rPr>
        <w:t>浙江一海新能源有限公司进行无害化处理，</w:t>
      </w:r>
      <w:r>
        <w:rPr>
          <w:rFonts w:hint="eastAsia" w:asciiTheme="minorEastAsia" w:hAnsiTheme="minorEastAsia" w:eastAsiaTheme="minorEastAsia" w:cstheme="minorEastAsia"/>
          <w:color w:val="000000"/>
          <w:kern w:val="0"/>
          <w:sz w:val="24"/>
          <w:szCs w:val="24"/>
          <w:lang w:val="en-US" w:eastAsia="zh-CN" w:bidi="ar"/>
        </w:rPr>
        <w:t xml:space="preserve">项目的初期雨水和生活污水一道汇入原污水集水池，经生化处理后用于土地灌溉(附近田地、林地)；一般废包装材料、废塑料膜外售回收综合利用，牛粪、粪渣和饲料残渣及杂质委托处置，病死牛尸体由衢州市衢江区泰华动物无害化处理厂统一处理，医疗废物、废机油、废含油抹布等危废暂存后委托有资质单位处理处置，职工生活垃圾收集后由环卫部门清运。 </w:t>
      </w:r>
    </w:p>
    <w:p>
      <w:pPr>
        <w:pStyle w:val="4"/>
        <w:rPr>
          <w:rFonts w:ascii="宋体" w:hAnsi="宋体" w:eastAsia="宋体" w:cs="宋体"/>
          <w:sz w:val="28"/>
          <w:szCs w:val="28"/>
        </w:rPr>
      </w:pPr>
      <w:bookmarkStart w:id="25" w:name="_Toc18554"/>
      <w:r>
        <w:rPr>
          <w:rFonts w:hint="eastAsia" w:ascii="宋体" w:hAnsi="宋体" w:eastAsia="宋体" w:cs="宋体"/>
          <w:sz w:val="28"/>
          <w:szCs w:val="28"/>
        </w:rPr>
        <w:t>1.</w:t>
      </w:r>
      <w:r>
        <w:rPr>
          <w:rFonts w:hint="eastAsia" w:ascii="宋体" w:hAnsi="宋体" w:eastAsia="宋体" w:cs="宋体"/>
          <w:sz w:val="28"/>
          <w:szCs w:val="28"/>
          <w:lang w:val="en-US" w:eastAsia="zh-CN"/>
        </w:rPr>
        <w:t>5、</w:t>
      </w:r>
      <w:r>
        <w:rPr>
          <w:rFonts w:hint="eastAsia" w:ascii="宋体" w:hAnsi="宋体" w:eastAsia="宋体" w:cs="宋体"/>
          <w:sz w:val="28"/>
          <w:szCs w:val="28"/>
        </w:rPr>
        <w:t>项目验收范围</w:t>
      </w:r>
      <w:bookmarkEnd w:id="21"/>
      <w:bookmarkEnd w:id="23"/>
      <w:bookmarkEnd w:id="25"/>
    </w:p>
    <w:p>
      <w:pPr>
        <w:spacing w:line="360" w:lineRule="auto"/>
        <w:ind w:left="0" w:leftChars="0" w:firstLine="480" w:firstLineChars="200"/>
        <w:rPr>
          <w:rFonts w:ascii="宋体" w:hAnsi="宋体" w:eastAsia="宋体" w:cs="宋体"/>
        </w:rPr>
      </w:pPr>
      <w:r>
        <w:rPr>
          <w:rFonts w:hint="eastAsia" w:ascii="宋体" w:hAnsi="宋体" w:eastAsia="宋体" w:cs="宋体"/>
        </w:rPr>
        <w:t>项目环评设计</w:t>
      </w:r>
      <w:r>
        <w:rPr>
          <w:rFonts w:hint="eastAsia" w:ascii="宋体" w:hAnsi="宋体" w:eastAsia="宋体" w:cs="宋体"/>
          <w:lang w:val="en-US" w:eastAsia="zh-CN"/>
        </w:rPr>
        <w:t>拟投资</w:t>
      </w:r>
      <w:r>
        <w:rPr>
          <w:rFonts w:hint="eastAsia" w:asciiTheme="minorEastAsia" w:hAnsiTheme="minorEastAsia" w:eastAsiaTheme="minorEastAsia" w:cstheme="minorEastAsia"/>
          <w:color w:val="000000"/>
          <w:kern w:val="0"/>
          <w:sz w:val="24"/>
          <w:szCs w:val="24"/>
          <w:lang w:val="en-US" w:eastAsia="zh-CN" w:bidi="ar"/>
        </w:rPr>
        <w:t>10426万元，</w:t>
      </w:r>
      <w:r>
        <w:rPr>
          <w:rFonts w:hint="eastAsia" w:ascii="宋体" w:hAnsi="宋体" w:eastAsia="宋体" w:cs="宋体"/>
        </w:rPr>
        <w:t>建设</w:t>
      </w:r>
      <w:r>
        <w:rPr>
          <w:rFonts w:hint="eastAsia" w:asciiTheme="minorEastAsia" w:hAnsiTheme="minorEastAsia" w:eastAsiaTheme="minorEastAsia" w:cstheme="minorEastAsia"/>
          <w:lang w:val="en-US" w:eastAsia="zh-CN"/>
        </w:rPr>
        <w:t>新建栏舍27栋，采用封闭式管理，建设标准化肉牛养殖场，建成后形成存栏2000头肉牛，年出栏2000头肉牛的养殖规模。</w:t>
      </w:r>
      <w:r>
        <w:rPr>
          <w:rFonts w:hint="eastAsia" w:ascii="宋体" w:hAnsi="宋体" w:eastAsia="宋体" w:cs="宋体"/>
        </w:rPr>
        <w:t>根据企业</w:t>
      </w:r>
      <w:r>
        <w:rPr>
          <w:rFonts w:ascii="宋体" w:hAnsi="宋体" w:eastAsia="宋体" w:cs="宋体"/>
        </w:rPr>
        <w:t>提供的资料和</w:t>
      </w:r>
      <w:r>
        <w:rPr>
          <w:rFonts w:hint="eastAsia" w:ascii="宋体" w:hAnsi="宋体" w:eastAsia="宋体" w:cs="宋体"/>
          <w:lang w:val="en-US" w:eastAsia="zh-CN"/>
        </w:rPr>
        <w:t>对</w:t>
      </w:r>
      <w:r>
        <w:rPr>
          <w:rFonts w:ascii="宋体" w:hAnsi="宋体" w:eastAsia="宋体" w:cs="宋体"/>
        </w:rPr>
        <w:t>本公司</w:t>
      </w:r>
      <w:r>
        <w:rPr>
          <w:rFonts w:hint="eastAsia" w:ascii="宋体" w:hAnsi="宋体" w:eastAsia="宋体" w:cs="宋体"/>
          <w:lang w:val="en-US" w:eastAsia="zh-CN"/>
        </w:rPr>
        <w:t>的</w:t>
      </w:r>
      <w:r>
        <w:rPr>
          <w:rFonts w:ascii="宋体" w:hAnsi="宋体" w:eastAsia="宋体" w:cs="宋体"/>
        </w:rPr>
        <w:t>现场调查，</w:t>
      </w:r>
      <w:r>
        <w:rPr>
          <w:rFonts w:hint="eastAsia" w:ascii="宋体" w:hAnsi="宋体" w:eastAsia="宋体" w:cs="宋体"/>
        </w:rPr>
        <w:t>本项目</w:t>
      </w:r>
      <w:r>
        <w:rPr>
          <w:rFonts w:hint="eastAsia" w:ascii="宋体" w:hAnsi="宋体" w:eastAsia="宋体" w:cs="宋体"/>
          <w:lang w:val="en-US" w:eastAsia="zh-CN"/>
        </w:rPr>
        <w:t>一期</w:t>
      </w:r>
      <w:r>
        <w:rPr>
          <w:rFonts w:hint="eastAsia" w:ascii="宋体" w:hAnsi="宋体" w:eastAsia="宋体" w:cs="宋体"/>
        </w:rPr>
        <w:t>实际</w:t>
      </w:r>
      <w:r>
        <w:rPr>
          <w:rFonts w:hint="eastAsia" w:ascii="宋体" w:hAnsi="宋体" w:eastAsia="宋体" w:cs="宋体"/>
          <w:lang w:val="en-US" w:eastAsia="zh-CN"/>
        </w:rPr>
        <w:t>已完成投资5000余万元，建设完成了</w:t>
      </w:r>
      <w:r>
        <w:rPr>
          <w:rFonts w:hint="eastAsia" w:asciiTheme="minorEastAsia" w:hAnsiTheme="minorEastAsia" w:eastAsiaTheme="minorEastAsia" w:cstheme="minorEastAsia"/>
          <w:lang w:val="en-US" w:eastAsia="zh-CN"/>
        </w:rPr>
        <w:t>新建栏舍</w:t>
      </w:r>
      <w:r>
        <w:rPr>
          <w:rFonts w:hint="eastAsia" w:ascii="宋体" w:hAnsi="宋体" w:eastAsia="宋体" w:cs="宋体"/>
          <w:lang w:val="en-US" w:eastAsia="zh-CN"/>
        </w:rPr>
        <w:t>10</w:t>
      </w:r>
      <w:r>
        <w:rPr>
          <w:rFonts w:hint="eastAsia" w:asciiTheme="minorEastAsia" w:hAnsiTheme="minorEastAsia" w:eastAsiaTheme="minorEastAsia" w:cstheme="minorEastAsia"/>
          <w:lang w:val="en-US" w:eastAsia="zh-CN"/>
        </w:rPr>
        <w:t>栋，建成后形成存栏</w:t>
      </w:r>
      <w:r>
        <w:rPr>
          <w:rFonts w:hint="eastAsia" w:ascii="宋体" w:hAnsi="宋体" w:eastAsia="宋体" w:cs="宋体"/>
          <w:lang w:val="en-US" w:eastAsia="zh-CN"/>
        </w:rPr>
        <w:t>800</w:t>
      </w:r>
      <w:r>
        <w:rPr>
          <w:rFonts w:hint="eastAsia" w:asciiTheme="minorEastAsia" w:hAnsiTheme="minorEastAsia" w:eastAsiaTheme="minorEastAsia" w:cstheme="minorEastAsia"/>
          <w:lang w:val="en-US" w:eastAsia="zh-CN"/>
        </w:rPr>
        <w:t>头肉牛，年出栏</w:t>
      </w:r>
      <w:r>
        <w:rPr>
          <w:rFonts w:hint="eastAsia" w:ascii="宋体" w:hAnsi="宋体" w:eastAsia="宋体" w:cs="宋体"/>
          <w:lang w:val="en-US" w:eastAsia="zh-CN"/>
        </w:rPr>
        <w:t>800</w:t>
      </w:r>
      <w:r>
        <w:rPr>
          <w:rFonts w:hint="eastAsia" w:asciiTheme="minorEastAsia" w:hAnsiTheme="minorEastAsia" w:eastAsiaTheme="minorEastAsia" w:cstheme="minorEastAsia"/>
          <w:lang w:val="en-US" w:eastAsia="zh-CN"/>
        </w:rPr>
        <w:t>头肉牛，本次验收时的养殖规模未达到项目环评的设计存栏及年出栏养殖规模</w:t>
      </w:r>
      <w:r>
        <w:rPr>
          <w:rFonts w:ascii="宋体" w:hAnsi="宋体" w:eastAsia="宋体" w:cs="宋体"/>
        </w:rPr>
        <w:t>，</w:t>
      </w:r>
      <w:r>
        <w:rPr>
          <w:rFonts w:hint="eastAsia" w:ascii="宋体" w:hAnsi="宋体" w:eastAsia="宋体" w:cs="宋体"/>
          <w:lang w:val="en-US" w:eastAsia="zh-CN"/>
        </w:rPr>
        <w:t>部分配套的环保污染处理设施按环评设计要求已建成投入运行，</w:t>
      </w:r>
      <w:r>
        <w:rPr>
          <w:rFonts w:hint="eastAsia" w:ascii="宋体" w:hAnsi="宋体" w:eastAsia="宋体" w:cs="宋体"/>
        </w:rPr>
        <w:t>因此本次验收为</w:t>
      </w:r>
      <w:r>
        <w:rPr>
          <w:rFonts w:hint="default" w:ascii="宋体" w:hAnsi="宋体" w:eastAsia="宋体" w:cs="宋体"/>
        </w:rPr>
        <w:t>：</w:t>
      </w:r>
      <w:r>
        <w:rPr>
          <w:rFonts w:hint="eastAsia" w:asciiTheme="minorEastAsia" w:hAnsiTheme="minorEastAsia" w:eastAsiaTheme="minorEastAsia" w:cstheme="minorEastAsia"/>
          <w:sz w:val="24"/>
          <w:szCs w:val="24"/>
          <w:lang w:eastAsia="zh-CN"/>
        </w:rPr>
        <w:t>浙江铭泽</w:t>
      </w:r>
      <w:r>
        <w:rPr>
          <w:rFonts w:hint="eastAsia" w:asciiTheme="minorEastAsia" w:hAnsiTheme="minorEastAsia" w:eastAsiaTheme="minorEastAsia" w:cstheme="minorEastAsia"/>
          <w:sz w:val="24"/>
          <w:szCs w:val="24"/>
          <w:lang w:val="en-US" w:eastAsia="zh-CN"/>
        </w:rPr>
        <w:t>农牧发展</w:t>
      </w:r>
      <w:r>
        <w:rPr>
          <w:rFonts w:hint="eastAsia" w:asciiTheme="minorEastAsia" w:hAnsiTheme="minorEastAsia" w:eastAsiaTheme="minorEastAsia" w:cstheme="minorEastAsia"/>
          <w:sz w:val="24"/>
          <w:szCs w:val="24"/>
          <w:lang w:eastAsia="zh-CN"/>
        </w:rPr>
        <w:t>有限公司衢江区铭泽公司肉牛养殖项目（</w:t>
      </w:r>
      <w:r>
        <w:rPr>
          <w:rFonts w:hint="eastAsia" w:asciiTheme="minorEastAsia" w:hAnsiTheme="minorEastAsia" w:eastAsiaTheme="minorEastAsia" w:cstheme="minorEastAsia"/>
          <w:sz w:val="24"/>
          <w:szCs w:val="24"/>
          <w:lang w:val="en-US" w:eastAsia="zh-CN"/>
        </w:rPr>
        <w:t>一期</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项目的竣工环境保护验收</w:t>
      </w:r>
      <w:r>
        <w:rPr>
          <w:rFonts w:hint="eastAsia" w:ascii="宋体" w:hAnsi="宋体" w:eastAsia="宋体" w:cs="宋体"/>
        </w:rPr>
        <w:t>。</w:t>
      </w:r>
    </w:p>
    <w:p>
      <w:pPr>
        <w:pStyle w:val="4"/>
        <w:rPr>
          <w:rFonts w:ascii="宋体" w:hAnsi="宋体" w:eastAsia="宋体" w:cs="宋体"/>
          <w:sz w:val="28"/>
          <w:szCs w:val="28"/>
        </w:rPr>
      </w:pPr>
      <w:bookmarkStart w:id="26" w:name="_Toc27702"/>
      <w:bookmarkStart w:id="27" w:name="_Toc18464"/>
      <w:bookmarkStart w:id="28" w:name="_Toc22702"/>
      <w:r>
        <w:rPr>
          <w:rFonts w:hint="eastAsia" w:ascii="宋体" w:hAnsi="宋体" w:eastAsia="宋体" w:cs="宋体"/>
          <w:sz w:val="28"/>
          <w:szCs w:val="28"/>
        </w:rPr>
        <w:t>1.</w:t>
      </w:r>
      <w:r>
        <w:rPr>
          <w:rFonts w:hint="eastAsia" w:ascii="宋体" w:hAnsi="宋体" w:eastAsia="宋体" w:cs="宋体"/>
          <w:sz w:val="28"/>
          <w:szCs w:val="28"/>
          <w:lang w:val="en-US" w:eastAsia="zh-CN"/>
        </w:rPr>
        <w:t>6、</w:t>
      </w:r>
      <w:r>
        <w:rPr>
          <w:rFonts w:hint="eastAsia" w:ascii="宋体" w:hAnsi="宋体" w:eastAsia="宋体" w:cs="宋体"/>
          <w:sz w:val="28"/>
          <w:szCs w:val="28"/>
        </w:rPr>
        <w:t>项目验收工作组织</w:t>
      </w:r>
      <w:bookmarkEnd w:id="26"/>
      <w:bookmarkEnd w:id="27"/>
      <w:bookmarkEnd w:id="28"/>
    </w:p>
    <w:p>
      <w:pPr>
        <w:spacing w:line="360" w:lineRule="auto"/>
        <w:ind w:firstLine="480"/>
        <w:jc w:val="left"/>
        <w:rPr>
          <w:rFonts w:ascii="宋体" w:hAnsi="宋体" w:eastAsia="宋体" w:cs="宋体"/>
          <w:color w:val="000000" w:themeColor="text1"/>
          <w14:textFill>
            <w14:solidFill>
              <w14:schemeClr w14:val="tx1"/>
            </w14:solidFill>
          </w14:textFill>
        </w:rPr>
      </w:pPr>
      <w:r>
        <w:rPr>
          <w:rFonts w:hint="default" w:ascii="宋体" w:hAnsi="宋体" w:eastAsia="宋体" w:cs="宋体"/>
        </w:rPr>
        <w:t>本次建设</w:t>
      </w:r>
      <w:r>
        <w:rPr>
          <w:rFonts w:hint="eastAsia" w:ascii="宋体" w:hAnsi="宋体" w:eastAsia="宋体" w:cs="宋体"/>
        </w:rPr>
        <w:t>项目竣工环境保护验收工作由</w:t>
      </w:r>
      <w:r>
        <w:rPr>
          <w:rFonts w:hint="eastAsia" w:ascii="宋体" w:hAnsi="宋体" w:eastAsia="宋体" w:cs="宋体"/>
          <w:lang w:eastAsia="zh-CN"/>
        </w:rPr>
        <w:t>浙江铭泽农牧发展有限公司</w:t>
      </w:r>
      <w:r>
        <w:rPr>
          <w:rFonts w:hint="eastAsia" w:asciiTheme="minorEastAsia" w:hAnsiTheme="minorEastAsia" w:eastAsiaTheme="minorEastAsia"/>
          <w:lang w:eastAsia="zh-CN"/>
        </w:rPr>
        <w:t>衢江区铭泽公司</w:t>
      </w:r>
      <w:r>
        <w:rPr>
          <w:rFonts w:hint="eastAsia" w:ascii="宋体" w:hAnsi="宋体" w:eastAsia="宋体" w:cs="宋体"/>
        </w:rPr>
        <w:t>负责组织，受其委托</w:t>
      </w:r>
      <w:r>
        <w:rPr>
          <w:rFonts w:hint="eastAsia" w:ascii="宋体" w:hAnsi="宋体" w:eastAsia="宋体" w:cs="宋体"/>
          <w:lang w:eastAsia="zh-CN"/>
        </w:rPr>
        <w:t>杭州华安节能环保科技有限公司</w:t>
      </w:r>
      <w:r>
        <w:rPr>
          <w:rFonts w:hint="eastAsia" w:ascii="宋体" w:hAnsi="宋体" w:eastAsia="宋体" w:cs="宋体"/>
        </w:rPr>
        <w:t>承担项目验收监测和报告编制工作。根据《建设项目竣工环境保护验收暂行办法》（国环规环评（2017）4号）和《建设项目竣工环境保护验收技术指南污染影响类》的要求，在研读项目环评和该环评批复等相关资料基础之上，</w:t>
      </w:r>
      <w:r>
        <w:rPr>
          <w:rFonts w:hint="eastAsia" w:ascii="宋体" w:hAnsi="宋体" w:eastAsia="宋体" w:cs="宋体"/>
          <w:lang w:eastAsia="zh-CN"/>
        </w:rPr>
        <w:t>杭州华安节能环保科技有限公司</w:t>
      </w:r>
      <w:r>
        <w:rPr>
          <w:rFonts w:hint="eastAsia" w:ascii="宋体" w:hAnsi="宋体" w:eastAsia="宋体" w:cs="宋体"/>
        </w:rPr>
        <w:t>组织相关技术</w:t>
      </w:r>
      <w:r>
        <w:rPr>
          <w:rFonts w:hint="eastAsia" w:ascii="宋体" w:hAnsi="宋体" w:eastAsia="宋体" w:cs="宋体"/>
          <w:color w:val="000000" w:themeColor="text1"/>
          <w14:textFill>
            <w14:solidFill>
              <w14:schemeClr w14:val="tx1"/>
            </w14:solidFill>
          </w14:textFill>
        </w:rPr>
        <w:t>人员，对项目</w:t>
      </w:r>
      <w:r>
        <w:rPr>
          <w:rFonts w:hint="eastAsia" w:ascii="宋体" w:hAnsi="宋体" w:eastAsia="宋体" w:cs="宋体"/>
          <w:color w:val="000000" w:themeColor="text1"/>
          <w:lang w:val="en-US" w:eastAsia="zh-CN"/>
          <w14:textFill>
            <w14:solidFill>
              <w14:schemeClr w14:val="tx1"/>
            </w14:solidFill>
          </w14:textFill>
        </w:rPr>
        <w:t>按照环评和环评批复的要求以及当地环保部门的意见</w:t>
      </w:r>
      <w:r>
        <w:rPr>
          <w:rFonts w:hint="eastAsia" w:ascii="宋体" w:hAnsi="宋体" w:eastAsia="宋体" w:cs="宋体"/>
          <w:color w:val="000000" w:themeColor="text1"/>
          <w14:textFill>
            <w14:solidFill>
              <w14:schemeClr w14:val="tx1"/>
            </w14:solidFill>
          </w14:textFill>
        </w:rPr>
        <w:t>进行现场</w:t>
      </w:r>
      <w:r>
        <w:rPr>
          <w:rFonts w:hint="eastAsia" w:ascii="宋体" w:hAnsi="宋体" w:eastAsia="宋体" w:cs="宋体"/>
          <w:color w:val="000000" w:themeColor="text1"/>
          <w:lang w:val="en-US" w:eastAsia="zh-CN"/>
          <w14:textFill>
            <w14:solidFill>
              <w14:schemeClr w14:val="tx1"/>
            </w14:solidFill>
          </w14:textFill>
        </w:rPr>
        <w:t>核</w:t>
      </w:r>
      <w:r>
        <w:rPr>
          <w:rFonts w:hint="eastAsia" w:ascii="宋体" w:hAnsi="宋体" w:eastAsia="宋体" w:cs="宋体"/>
          <w:color w:val="000000" w:themeColor="text1"/>
          <w14:textFill>
            <w14:solidFill>
              <w14:schemeClr w14:val="tx1"/>
            </w14:solidFill>
          </w14:textFill>
        </w:rPr>
        <w:t>查</w:t>
      </w:r>
      <w:r>
        <w:rPr>
          <w:rFonts w:hint="eastAsia" w:ascii="宋体" w:hAnsi="宋体" w:eastAsia="宋体" w:cs="宋体"/>
          <w:color w:val="000000" w:themeColor="text1"/>
          <w:lang w:eastAsia="zh-CN"/>
          <w14:textFill>
            <w14:solidFill>
              <w14:schemeClr w14:val="tx1"/>
            </w14:solidFill>
          </w14:textFill>
        </w:rPr>
        <w:t>、</w:t>
      </w:r>
      <w:r>
        <w:rPr>
          <w:rFonts w:hint="eastAsia" w:ascii="宋体" w:hAnsi="宋体" w:eastAsia="宋体" w:cs="宋体"/>
          <w:color w:val="000000" w:themeColor="text1"/>
          <w:lang w:val="en-US" w:eastAsia="zh-CN"/>
          <w14:textFill>
            <w14:solidFill>
              <w14:schemeClr w14:val="tx1"/>
            </w14:solidFill>
          </w14:textFill>
        </w:rPr>
        <w:t>收集验收相关的</w:t>
      </w:r>
      <w:r>
        <w:rPr>
          <w:rFonts w:hint="eastAsia" w:ascii="宋体" w:hAnsi="宋体" w:eastAsia="宋体" w:cs="宋体"/>
          <w:color w:val="000000" w:themeColor="text1"/>
          <w14:textFill>
            <w14:solidFill>
              <w14:schemeClr w14:val="tx1"/>
            </w14:solidFill>
          </w14:textFill>
        </w:rPr>
        <w:t>资料</w:t>
      </w:r>
      <w:r>
        <w:rPr>
          <w:rFonts w:hint="eastAsia" w:ascii="宋体" w:hAnsi="宋体" w:eastAsia="宋体" w:cs="宋体"/>
          <w:color w:val="000000" w:themeColor="text1"/>
          <w:lang w:eastAsia="zh-CN"/>
          <w14:textFill>
            <w14:solidFill>
              <w14:schemeClr w14:val="tx1"/>
            </w14:solidFill>
          </w14:textFill>
        </w:rPr>
        <w:t>、</w:t>
      </w:r>
      <w:r>
        <w:rPr>
          <w:rFonts w:hint="eastAsia" w:ascii="宋体" w:hAnsi="宋体" w:eastAsia="宋体" w:cs="宋体"/>
          <w:color w:val="000000" w:themeColor="text1"/>
          <w:lang w:val="en-US" w:eastAsia="zh-CN"/>
          <w14:textFill>
            <w14:solidFill>
              <w14:schemeClr w14:val="tx1"/>
            </w14:solidFill>
          </w14:textFill>
        </w:rPr>
        <w:t>组织第三方检测机构进行环保设施的现场监测与此同时着手进行项目</w:t>
      </w:r>
      <w:r>
        <w:rPr>
          <w:rFonts w:hint="eastAsia" w:asciiTheme="minorEastAsia" w:hAnsiTheme="minorEastAsia" w:eastAsiaTheme="minorEastAsia" w:cstheme="minorEastAsia"/>
          <w:b w:val="0"/>
          <w:bCs w:val="0"/>
          <w:sz w:val="24"/>
          <w:szCs w:val="24"/>
          <w:lang w:val="en-US" w:eastAsia="zh-CN"/>
        </w:rPr>
        <w:t>（一期）环境保护竣工验收调查的报告编制</w:t>
      </w:r>
      <w:r>
        <w:rPr>
          <w:rFonts w:hint="eastAsia" w:ascii="宋体" w:hAnsi="宋体" w:eastAsia="宋体" w:cs="宋体"/>
          <w:color w:val="000000" w:themeColor="text1"/>
          <w14:textFill>
            <w14:solidFill>
              <w14:schemeClr w14:val="tx1"/>
            </w14:solidFill>
          </w14:textFill>
        </w:rPr>
        <w:t>工作。</w:t>
      </w:r>
    </w:p>
    <w:p>
      <w:pPr>
        <w:pStyle w:val="2"/>
        <w:numPr>
          <w:ilvl w:val="0"/>
          <w:numId w:val="0"/>
        </w:numPr>
        <w:rPr>
          <w:rFonts w:ascii="宋体" w:hAnsi="宋体" w:cs="宋体"/>
          <w:sz w:val="30"/>
          <w:szCs w:val="30"/>
        </w:rPr>
      </w:pPr>
      <w:bookmarkStart w:id="29" w:name="_Toc15246"/>
      <w:bookmarkStart w:id="30" w:name="_Toc25332"/>
      <w:bookmarkStart w:id="31" w:name="_Toc15191"/>
      <w:r>
        <w:rPr>
          <w:rFonts w:hint="eastAsia" w:ascii="宋体" w:hAnsi="宋体" w:cs="宋体"/>
          <w:sz w:val="30"/>
          <w:szCs w:val="30"/>
          <w:lang w:val="en-US" w:eastAsia="zh-CN"/>
        </w:rPr>
        <w:t>2、</w:t>
      </w:r>
      <w:r>
        <w:rPr>
          <w:rFonts w:hint="eastAsia" w:ascii="宋体" w:hAnsi="宋体" w:cs="宋体"/>
          <w:sz w:val="30"/>
          <w:szCs w:val="30"/>
        </w:rPr>
        <w:t>验收依据</w:t>
      </w:r>
      <w:bookmarkEnd w:id="29"/>
      <w:bookmarkEnd w:id="30"/>
      <w:bookmarkEnd w:id="31"/>
    </w:p>
    <w:p>
      <w:pPr>
        <w:pStyle w:val="4"/>
        <w:rPr>
          <w:rFonts w:ascii="宋体" w:hAnsi="宋体" w:eastAsia="宋体" w:cs="宋体"/>
          <w:sz w:val="28"/>
          <w:szCs w:val="28"/>
        </w:rPr>
      </w:pPr>
      <w:bookmarkStart w:id="32" w:name="_Toc6891"/>
      <w:bookmarkStart w:id="33" w:name="_Toc5996"/>
      <w:bookmarkStart w:id="34" w:name="_Toc20591"/>
      <w:bookmarkStart w:id="35" w:name="_Toc17244"/>
      <w:bookmarkStart w:id="36" w:name="_Toc9387"/>
      <w:bookmarkStart w:id="37" w:name="_Toc17474"/>
      <w:r>
        <w:rPr>
          <w:rFonts w:hint="eastAsia" w:ascii="宋体" w:hAnsi="宋体" w:eastAsia="宋体" w:cs="宋体"/>
          <w:sz w:val="28"/>
          <w:szCs w:val="28"/>
        </w:rPr>
        <w:t>2.1我国及浙江省环境保护法律、法规</w:t>
      </w:r>
      <w:bookmarkEnd w:id="32"/>
      <w:bookmarkEnd w:id="33"/>
      <w:bookmarkEnd w:id="34"/>
      <w:bookmarkEnd w:id="35"/>
      <w:bookmarkEnd w:id="36"/>
      <w:bookmarkEnd w:id="37"/>
    </w:p>
    <w:p>
      <w:pPr>
        <w:pStyle w:val="47"/>
        <w:numPr>
          <w:ilvl w:val="0"/>
          <w:numId w:val="0"/>
        </w:numPr>
        <w:spacing w:line="360" w:lineRule="auto"/>
        <w:ind w:leftChars="0" w:firstLine="240" w:firstLineChars="100"/>
        <w:jc w:val="left"/>
        <w:rPr>
          <w:rFonts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1</w:t>
      </w:r>
      <w:r>
        <w:rPr>
          <w:rFonts w:hint="eastAsia" w:ascii="宋体" w:hAnsi="宋体" w:eastAsia="宋体" w:cs="宋体"/>
          <w:lang w:eastAsia="zh-CN"/>
        </w:rPr>
        <w:t>）</w:t>
      </w:r>
      <w:r>
        <w:rPr>
          <w:rFonts w:hint="eastAsia" w:ascii="宋体" w:hAnsi="宋体" w:eastAsia="宋体" w:cs="宋体"/>
        </w:rPr>
        <w:t xml:space="preserve">《中华人民共和国环境保护法》（2015.1.1施行）； </w:t>
      </w:r>
    </w:p>
    <w:p>
      <w:pPr>
        <w:pStyle w:val="47"/>
        <w:numPr>
          <w:ilvl w:val="0"/>
          <w:numId w:val="0"/>
        </w:numPr>
        <w:spacing w:line="360" w:lineRule="auto"/>
        <w:ind w:leftChars="0" w:firstLine="240" w:firstLineChars="100"/>
        <w:jc w:val="left"/>
        <w:rPr>
          <w:rFonts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2</w:t>
      </w:r>
      <w:r>
        <w:rPr>
          <w:rFonts w:hint="eastAsia" w:ascii="宋体" w:hAnsi="宋体" w:eastAsia="宋体" w:cs="宋体"/>
          <w:lang w:eastAsia="zh-CN"/>
        </w:rPr>
        <w:t>）</w:t>
      </w:r>
      <w:r>
        <w:rPr>
          <w:rFonts w:hint="eastAsia" w:ascii="宋体" w:hAnsi="宋体" w:eastAsia="宋体" w:cs="宋体"/>
        </w:rPr>
        <w:t xml:space="preserve">《中华人民共和国环境影响评价法》（2016.9.1施行）； </w:t>
      </w:r>
    </w:p>
    <w:p>
      <w:pPr>
        <w:pStyle w:val="47"/>
        <w:numPr>
          <w:ilvl w:val="0"/>
          <w:numId w:val="0"/>
        </w:numPr>
        <w:spacing w:line="360" w:lineRule="auto"/>
        <w:ind w:leftChars="0" w:firstLine="240" w:firstLineChars="100"/>
        <w:jc w:val="left"/>
        <w:rPr>
          <w:rFonts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3</w:t>
      </w:r>
      <w:r>
        <w:rPr>
          <w:rFonts w:hint="eastAsia" w:ascii="宋体" w:hAnsi="宋体" w:eastAsia="宋体" w:cs="宋体"/>
          <w:lang w:eastAsia="zh-CN"/>
        </w:rPr>
        <w:t>）</w:t>
      </w:r>
      <w:r>
        <w:rPr>
          <w:rFonts w:hint="eastAsia" w:ascii="宋体" w:hAnsi="宋体" w:eastAsia="宋体" w:cs="宋体"/>
        </w:rPr>
        <w:t>《中华人民共和国水污染防治法》（2018.1.1施行）；</w:t>
      </w:r>
    </w:p>
    <w:p>
      <w:pPr>
        <w:pStyle w:val="47"/>
        <w:numPr>
          <w:ilvl w:val="0"/>
          <w:numId w:val="0"/>
        </w:numPr>
        <w:spacing w:line="360" w:lineRule="auto"/>
        <w:ind w:leftChars="0" w:firstLine="240" w:firstLineChars="100"/>
        <w:jc w:val="left"/>
        <w:rPr>
          <w:rFonts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4</w:t>
      </w:r>
      <w:r>
        <w:rPr>
          <w:rFonts w:hint="eastAsia" w:ascii="宋体" w:hAnsi="宋体" w:eastAsia="宋体" w:cs="宋体"/>
          <w:lang w:eastAsia="zh-CN"/>
        </w:rPr>
        <w:t>）</w:t>
      </w:r>
      <w:r>
        <w:rPr>
          <w:rFonts w:hint="eastAsia" w:ascii="宋体" w:hAnsi="宋体" w:eastAsia="宋体" w:cs="宋体"/>
        </w:rPr>
        <w:t>《中华人民共和国大气污染防治法》（2016.1.1施行）；</w:t>
      </w:r>
    </w:p>
    <w:p>
      <w:pPr>
        <w:pStyle w:val="47"/>
        <w:numPr>
          <w:ilvl w:val="0"/>
          <w:numId w:val="0"/>
        </w:numPr>
        <w:spacing w:line="360" w:lineRule="auto"/>
        <w:ind w:leftChars="0" w:firstLine="240" w:firstLineChars="100"/>
        <w:jc w:val="left"/>
        <w:rPr>
          <w:rFonts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5</w:t>
      </w:r>
      <w:r>
        <w:rPr>
          <w:rFonts w:hint="eastAsia" w:ascii="宋体" w:hAnsi="宋体" w:eastAsia="宋体" w:cs="宋体"/>
          <w:lang w:eastAsia="zh-CN"/>
        </w:rPr>
        <w:t>）</w:t>
      </w:r>
      <w:r>
        <w:rPr>
          <w:rFonts w:hint="eastAsia" w:ascii="宋体" w:hAnsi="宋体" w:eastAsia="宋体" w:cs="宋体"/>
        </w:rPr>
        <w:t>《中华人民共和国环境噪声污染防治法》（</w:t>
      </w:r>
      <w:r>
        <w:rPr>
          <w:rFonts w:ascii="宋体" w:hAnsi="宋体" w:eastAsia="宋体" w:cs="宋体"/>
        </w:rPr>
        <w:t>2019.1.11</w:t>
      </w:r>
      <w:r>
        <w:rPr>
          <w:rFonts w:hint="eastAsia" w:ascii="宋体" w:hAnsi="宋体" w:eastAsia="宋体" w:cs="宋体"/>
        </w:rPr>
        <w:t>施行）；</w:t>
      </w:r>
    </w:p>
    <w:p>
      <w:pPr>
        <w:pStyle w:val="47"/>
        <w:numPr>
          <w:ilvl w:val="0"/>
          <w:numId w:val="0"/>
        </w:numPr>
        <w:spacing w:line="360" w:lineRule="auto"/>
        <w:ind w:leftChars="0" w:firstLine="240" w:firstLineChars="100"/>
        <w:jc w:val="left"/>
        <w:rPr>
          <w:rFonts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6</w:t>
      </w:r>
      <w:r>
        <w:rPr>
          <w:rFonts w:hint="eastAsia" w:ascii="宋体" w:hAnsi="宋体" w:eastAsia="宋体" w:cs="宋体"/>
          <w:lang w:eastAsia="zh-CN"/>
        </w:rPr>
        <w:t>）</w:t>
      </w:r>
      <w:r>
        <w:rPr>
          <w:rFonts w:hint="eastAsia" w:ascii="宋体" w:hAnsi="宋体" w:eastAsia="宋体" w:cs="宋体"/>
        </w:rPr>
        <w:t>《中华人民共和国固体废物污染环境防治法》（2016.11.7修订）；</w:t>
      </w:r>
    </w:p>
    <w:p>
      <w:pPr>
        <w:pStyle w:val="47"/>
        <w:numPr>
          <w:ilvl w:val="0"/>
          <w:numId w:val="0"/>
        </w:numPr>
        <w:spacing w:line="360" w:lineRule="auto"/>
        <w:ind w:leftChars="0" w:firstLine="240" w:firstLineChars="100"/>
        <w:jc w:val="left"/>
        <w:rPr>
          <w:rFonts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7</w:t>
      </w:r>
      <w:r>
        <w:rPr>
          <w:rFonts w:hint="eastAsia" w:ascii="宋体" w:hAnsi="宋体" w:eastAsia="宋体" w:cs="宋体"/>
          <w:lang w:eastAsia="zh-CN"/>
        </w:rPr>
        <w:t>）</w:t>
      </w:r>
      <w:r>
        <w:rPr>
          <w:rFonts w:hint="eastAsia" w:ascii="宋体" w:hAnsi="宋体" w:eastAsia="宋体" w:cs="宋体"/>
        </w:rPr>
        <w:t>《中华人民共和国清洁生产促进法》（2012.7.1施行）；</w:t>
      </w:r>
    </w:p>
    <w:p>
      <w:pPr>
        <w:pStyle w:val="47"/>
        <w:numPr>
          <w:ilvl w:val="0"/>
          <w:numId w:val="0"/>
        </w:numPr>
        <w:spacing w:line="360" w:lineRule="auto"/>
        <w:ind w:leftChars="0" w:firstLine="240" w:firstLineChars="100"/>
        <w:jc w:val="left"/>
        <w:rPr>
          <w:rFonts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8</w:t>
      </w:r>
      <w:r>
        <w:rPr>
          <w:rFonts w:hint="eastAsia" w:ascii="宋体" w:hAnsi="宋体" w:eastAsia="宋体" w:cs="宋体"/>
          <w:lang w:eastAsia="zh-CN"/>
        </w:rPr>
        <w:t>）</w:t>
      </w:r>
      <w:r>
        <w:rPr>
          <w:rFonts w:hint="eastAsia" w:ascii="宋体" w:hAnsi="宋体" w:eastAsia="宋体" w:cs="宋体"/>
        </w:rPr>
        <w:t>《中华人民共和国节约能源法》（2016.7.2修订）；</w:t>
      </w:r>
    </w:p>
    <w:p>
      <w:pPr>
        <w:pStyle w:val="47"/>
        <w:numPr>
          <w:ilvl w:val="0"/>
          <w:numId w:val="0"/>
        </w:numPr>
        <w:spacing w:line="360" w:lineRule="auto"/>
        <w:ind w:leftChars="0" w:firstLine="240" w:firstLineChars="100"/>
        <w:jc w:val="left"/>
        <w:rPr>
          <w:rFonts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9</w:t>
      </w:r>
      <w:r>
        <w:rPr>
          <w:rFonts w:hint="eastAsia" w:ascii="宋体" w:hAnsi="宋体" w:eastAsia="宋体" w:cs="宋体"/>
          <w:lang w:eastAsia="zh-CN"/>
        </w:rPr>
        <w:t>）</w:t>
      </w:r>
      <w:r>
        <w:rPr>
          <w:rFonts w:hint="eastAsia" w:ascii="宋体" w:hAnsi="宋体" w:eastAsia="宋体" w:cs="宋体"/>
        </w:rPr>
        <w:t>《建设项目环境保护管理条例》[国务院令（2017）第682号]；</w:t>
      </w:r>
    </w:p>
    <w:p>
      <w:pPr>
        <w:pStyle w:val="47"/>
        <w:numPr>
          <w:ilvl w:val="0"/>
          <w:numId w:val="0"/>
        </w:numPr>
        <w:spacing w:line="360" w:lineRule="auto"/>
        <w:ind w:leftChars="0" w:firstLine="240" w:firstLineChars="100"/>
        <w:jc w:val="left"/>
        <w:rPr>
          <w:rFonts w:ascii="宋体" w:hAnsi="宋体" w:eastAsia="宋体" w:cs="宋体"/>
          <w:color w:val="000000"/>
          <w:sz w:val="23"/>
        </w:rPr>
      </w:pPr>
      <w:r>
        <w:rPr>
          <w:rFonts w:hint="eastAsia" w:ascii="宋体" w:hAnsi="宋体" w:eastAsia="宋体" w:cs="宋体"/>
          <w:lang w:eastAsia="zh-CN"/>
        </w:rPr>
        <w:t>（</w:t>
      </w:r>
      <w:r>
        <w:rPr>
          <w:rFonts w:hint="eastAsia" w:ascii="宋体" w:hAnsi="宋体" w:eastAsia="宋体" w:cs="宋体"/>
          <w:lang w:val="en-US" w:eastAsia="zh-CN"/>
        </w:rPr>
        <w:t>10</w:t>
      </w:r>
      <w:r>
        <w:rPr>
          <w:rFonts w:hint="eastAsia" w:ascii="宋体" w:hAnsi="宋体" w:eastAsia="宋体" w:cs="宋体"/>
          <w:lang w:eastAsia="zh-CN"/>
        </w:rPr>
        <w:t>）</w:t>
      </w:r>
      <w:r>
        <w:rPr>
          <w:rFonts w:hint="eastAsia" w:ascii="宋体" w:hAnsi="宋体" w:eastAsia="宋体" w:cs="宋体"/>
        </w:rPr>
        <w:t>《建设项目竣工环境保护验收暂行办法》（国环规环评（2017）4号）。</w:t>
      </w:r>
    </w:p>
    <w:p>
      <w:pPr>
        <w:spacing w:line="360" w:lineRule="auto"/>
        <w:ind w:left="0" w:leftChars="0" w:firstLine="240" w:firstLineChars="100"/>
        <w:rPr>
          <w:rFonts w:hint="eastAsia" w:asciiTheme="minorEastAsia" w:hAnsiTheme="minorEastAsia" w:eastAsiaTheme="minorEastAsia" w:cstheme="minorEastAsia"/>
          <w:lang w:val="en-US" w:eastAsia="zh-CN"/>
        </w:rPr>
      </w:pPr>
      <w:bookmarkStart w:id="38" w:name="_Toc28594"/>
      <w:bookmarkStart w:id="39" w:name="_Toc73"/>
      <w:bookmarkStart w:id="40" w:name="_Toc18677"/>
      <w:bookmarkStart w:id="41" w:name="_Toc14064"/>
      <w:r>
        <w:rPr>
          <w:rFonts w:hint="eastAsia" w:ascii="宋体" w:hAnsi="宋体" w:eastAsia="宋体" w:cs="宋体"/>
          <w:b w:val="0"/>
          <w:bCs/>
          <w:lang w:eastAsia="zh-CN"/>
        </w:rPr>
        <w:t>（</w:t>
      </w:r>
      <w:r>
        <w:rPr>
          <w:rFonts w:hint="eastAsia" w:ascii="宋体" w:hAnsi="宋体" w:eastAsia="宋体" w:cs="宋体"/>
          <w:b w:val="0"/>
          <w:bCs/>
          <w:lang w:val="en-US" w:eastAsia="zh-CN"/>
        </w:rPr>
        <w:t>11</w:t>
      </w:r>
      <w:r>
        <w:rPr>
          <w:rFonts w:hint="eastAsia" w:ascii="宋体" w:hAnsi="宋体" w:eastAsia="宋体" w:cs="宋体"/>
          <w:b w:val="0"/>
          <w:bCs/>
          <w:lang w:eastAsia="zh-CN"/>
        </w:rPr>
        <w:t>）</w:t>
      </w:r>
      <w:r>
        <w:rPr>
          <w:rFonts w:hint="eastAsia" w:asciiTheme="minorEastAsia" w:hAnsiTheme="minorEastAsia" w:eastAsiaTheme="minorEastAsia" w:cstheme="minorEastAsia"/>
          <w:lang w:val="en-US" w:eastAsia="zh-CN"/>
        </w:rPr>
        <w:t>国家环境保护总局令第9号《畜禽养殖污染防治管理办法》（2001年5月8号）；</w:t>
      </w:r>
    </w:p>
    <w:p>
      <w:pPr>
        <w:bidi w:val="0"/>
        <w:spacing w:line="360" w:lineRule="auto"/>
        <w:ind w:left="0" w:leftChars="0" w:firstLine="240" w:firstLineChars="100"/>
        <w:rPr>
          <w:rFonts w:hint="eastAsia"/>
          <w:lang w:val="en-US" w:eastAsia="zh-CN"/>
        </w:rPr>
      </w:pPr>
      <w:r>
        <w:rPr>
          <w:rFonts w:hint="eastAsia" w:asciiTheme="minorEastAsia" w:hAnsiTheme="minorEastAsia" w:eastAsiaTheme="minorEastAsia" w:cstheme="minorEastAsia"/>
          <w:sz w:val="24"/>
          <w:szCs w:val="24"/>
          <w:lang w:val="en-US" w:eastAsia="zh-CN"/>
        </w:rPr>
        <w:t>（12）农业农村部办公厅生态 环境部 办公厅关于进一步明确畜禽粪污还田利用要求强化养殖污染监管的通知（农办牧(2020)23号）；</w:t>
      </w:r>
    </w:p>
    <w:p>
      <w:pPr>
        <w:bidi w:val="0"/>
        <w:spacing w:line="360" w:lineRule="auto"/>
        <w:ind w:left="0" w:leftChars="0" w:firstLine="240" w:firstLineChars="100"/>
        <w:rPr>
          <w:rFonts w:hint="eastAsia"/>
          <w:lang w:eastAsia="zh-CN"/>
        </w:rPr>
      </w:pPr>
      <w:r>
        <w:rPr>
          <w:rFonts w:hint="eastAsia" w:asciiTheme="minorEastAsia" w:hAnsiTheme="minorEastAsia" w:eastAsiaTheme="minorEastAsia" w:cstheme="minorEastAsia"/>
          <w:sz w:val="24"/>
          <w:szCs w:val="24"/>
          <w:lang w:val="en-US" w:eastAsia="zh-CN"/>
        </w:rPr>
        <w:t>（13）浙农字函[2018]61号《浙江省农业厅转发农业部办公厅关于统筹做好畜牧业发展和畜禽粪污染防治工作的通知》（2017.12.15起实施）；</w:t>
      </w:r>
    </w:p>
    <w:p>
      <w:pPr>
        <w:pStyle w:val="4"/>
        <w:rPr>
          <w:rFonts w:ascii="宋体" w:hAnsi="宋体" w:eastAsia="宋体" w:cs="宋体"/>
          <w:sz w:val="28"/>
          <w:szCs w:val="28"/>
        </w:rPr>
      </w:pPr>
      <w:bookmarkStart w:id="42" w:name="_Toc6817"/>
      <w:bookmarkStart w:id="43" w:name="_Toc15332"/>
      <w:r>
        <w:rPr>
          <w:rFonts w:hint="eastAsia" w:ascii="宋体" w:hAnsi="宋体" w:eastAsia="宋体" w:cs="宋体"/>
          <w:sz w:val="28"/>
          <w:szCs w:val="28"/>
        </w:rPr>
        <w:t>2.2技术规范</w:t>
      </w:r>
      <w:bookmarkEnd w:id="38"/>
      <w:bookmarkEnd w:id="39"/>
      <w:bookmarkEnd w:id="40"/>
      <w:bookmarkEnd w:id="41"/>
      <w:bookmarkEnd w:id="42"/>
      <w:bookmarkEnd w:id="43"/>
    </w:p>
    <w:p>
      <w:pPr>
        <w:pStyle w:val="47"/>
        <w:numPr>
          <w:ilvl w:val="0"/>
          <w:numId w:val="0"/>
        </w:numPr>
        <w:spacing w:line="360" w:lineRule="auto"/>
        <w:ind w:leftChars="0" w:firstLine="240" w:firstLineChars="100"/>
        <w:jc w:val="left"/>
        <w:rPr>
          <w:rFonts w:ascii="宋体" w:hAnsi="宋体" w:eastAsia="宋体" w:cs="宋体"/>
        </w:rPr>
      </w:pPr>
      <w:bookmarkStart w:id="44" w:name="_Toc9671"/>
      <w:bookmarkStart w:id="45" w:name="_Toc2924"/>
      <w:bookmarkStart w:id="46" w:name="_Toc23835"/>
      <w:r>
        <w:rPr>
          <w:rFonts w:hint="eastAsia" w:ascii="宋体" w:hAnsi="宋体" w:eastAsia="宋体" w:cs="宋体"/>
          <w:lang w:eastAsia="zh-CN"/>
        </w:rPr>
        <w:t>（</w:t>
      </w:r>
      <w:r>
        <w:rPr>
          <w:rFonts w:hint="eastAsia" w:ascii="宋体" w:hAnsi="宋体" w:eastAsia="宋体" w:cs="宋体"/>
          <w:lang w:val="en-US" w:eastAsia="zh-CN"/>
        </w:rPr>
        <w:t>1</w:t>
      </w:r>
      <w:r>
        <w:rPr>
          <w:rFonts w:hint="eastAsia" w:ascii="宋体" w:hAnsi="宋体" w:eastAsia="宋体" w:cs="宋体"/>
          <w:lang w:eastAsia="zh-CN"/>
        </w:rPr>
        <w:t>）</w:t>
      </w:r>
      <w:r>
        <w:rPr>
          <w:rFonts w:hint="eastAsia" w:ascii="宋体" w:hAnsi="宋体" w:eastAsia="宋体" w:cs="宋体"/>
        </w:rPr>
        <w:t xml:space="preserve">《环境影响评价技术导则 总纲》（HJ2.1-2016）； </w:t>
      </w:r>
    </w:p>
    <w:p>
      <w:pPr>
        <w:pStyle w:val="47"/>
        <w:numPr>
          <w:ilvl w:val="0"/>
          <w:numId w:val="0"/>
        </w:numPr>
        <w:spacing w:line="360" w:lineRule="auto"/>
        <w:ind w:leftChars="0" w:firstLine="240" w:firstLineChars="100"/>
        <w:jc w:val="left"/>
        <w:rPr>
          <w:rFonts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2</w:t>
      </w:r>
      <w:r>
        <w:rPr>
          <w:rFonts w:hint="eastAsia" w:ascii="宋体" w:hAnsi="宋体" w:eastAsia="宋体" w:cs="宋体"/>
          <w:lang w:eastAsia="zh-CN"/>
        </w:rPr>
        <w:t>）</w:t>
      </w:r>
      <w:r>
        <w:rPr>
          <w:rFonts w:hint="eastAsia" w:ascii="宋体" w:hAnsi="宋体" w:eastAsia="宋体" w:cs="宋体"/>
        </w:rPr>
        <w:t>《浙江省建设项目环保设施竣工验收监测技术规定》原浙江省环境保护厅；</w:t>
      </w:r>
    </w:p>
    <w:p>
      <w:pPr>
        <w:pStyle w:val="47"/>
        <w:numPr>
          <w:ilvl w:val="0"/>
          <w:numId w:val="0"/>
        </w:numPr>
        <w:spacing w:line="360" w:lineRule="auto"/>
        <w:ind w:leftChars="0" w:firstLine="240" w:firstLineChars="100"/>
        <w:jc w:val="left"/>
        <w:rPr>
          <w:rFonts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3</w:t>
      </w:r>
      <w:r>
        <w:rPr>
          <w:rFonts w:hint="eastAsia" w:ascii="宋体" w:hAnsi="宋体" w:eastAsia="宋体" w:cs="宋体"/>
          <w:lang w:eastAsia="zh-CN"/>
        </w:rPr>
        <w:t>）</w:t>
      </w:r>
      <w:r>
        <w:rPr>
          <w:rFonts w:hint="eastAsia" w:ascii="宋体" w:hAnsi="宋体" w:eastAsia="宋体" w:cs="宋体"/>
        </w:rPr>
        <w:t>《建设项目竣工环境保护验收技术指南 污染类影响》（生态环境保护部公告2018 年第9 号）；</w:t>
      </w:r>
    </w:p>
    <w:p>
      <w:pPr>
        <w:spacing w:line="360" w:lineRule="auto"/>
        <w:ind w:left="0" w:leftChars="0" w:firstLine="240" w:firstLineChars="100"/>
        <w:rPr>
          <w:rFonts w:ascii="宋体" w:hAnsi="宋体" w:eastAsia="宋体" w:cs="宋体"/>
        </w:rPr>
      </w:pPr>
      <w:r>
        <w:rPr>
          <w:rFonts w:hint="eastAsia" w:asciiTheme="minorEastAsia" w:hAnsiTheme="minorEastAsia" w:eastAsiaTheme="minorEastAsia" w:cstheme="minorEastAsia"/>
          <w:lang w:val="en-US" w:eastAsia="zh-CN"/>
        </w:rPr>
        <w:t>（4）《畜禽养殖业污染防治技术规范》（HJ/T81-2001）</w:t>
      </w:r>
    </w:p>
    <w:p>
      <w:pPr>
        <w:pStyle w:val="47"/>
        <w:numPr>
          <w:ilvl w:val="0"/>
          <w:numId w:val="0"/>
        </w:numPr>
        <w:spacing w:line="360" w:lineRule="auto"/>
        <w:ind w:leftChars="0" w:firstLine="240" w:firstLineChars="100"/>
        <w:jc w:val="left"/>
        <w:rPr>
          <w:rFonts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5</w:t>
      </w:r>
      <w:r>
        <w:rPr>
          <w:rFonts w:hint="eastAsia" w:ascii="宋体" w:hAnsi="宋体" w:eastAsia="宋体" w:cs="宋体"/>
          <w:lang w:eastAsia="zh-CN"/>
        </w:rPr>
        <w:t>）</w:t>
      </w:r>
      <w:r>
        <w:rPr>
          <w:rFonts w:hint="eastAsia" w:ascii="宋体" w:hAnsi="宋体" w:eastAsia="宋体" w:cs="宋体"/>
        </w:rPr>
        <w:t>《大气污染物综合排放标准》（GB16297-1996）；</w:t>
      </w:r>
    </w:p>
    <w:p>
      <w:pPr>
        <w:pStyle w:val="47"/>
        <w:numPr>
          <w:ilvl w:val="0"/>
          <w:numId w:val="0"/>
        </w:numPr>
        <w:spacing w:line="360" w:lineRule="auto"/>
        <w:ind w:leftChars="0" w:firstLine="240" w:firstLineChars="100"/>
        <w:jc w:val="left"/>
        <w:rPr>
          <w:rFonts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6</w:t>
      </w:r>
      <w:r>
        <w:rPr>
          <w:rFonts w:hint="eastAsia" w:ascii="宋体" w:hAnsi="宋体" w:eastAsia="宋体" w:cs="宋体"/>
          <w:lang w:eastAsia="zh-CN"/>
        </w:rPr>
        <w:t>）</w:t>
      </w:r>
      <w:r>
        <w:rPr>
          <w:rFonts w:hint="eastAsia" w:ascii="宋体" w:hAnsi="宋体" w:eastAsia="宋体" w:cs="宋体"/>
        </w:rPr>
        <w:t>《工业企业厂界环境噪声排放标准》（GB12348-2008）；</w:t>
      </w:r>
    </w:p>
    <w:p>
      <w:pPr>
        <w:pStyle w:val="47"/>
        <w:numPr>
          <w:ilvl w:val="0"/>
          <w:numId w:val="0"/>
        </w:numPr>
        <w:spacing w:line="360" w:lineRule="auto"/>
        <w:ind w:leftChars="0" w:firstLine="240" w:firstLineChars="100"/>
        <w:jc w:val="left"/>
        <w:rPr>
          <w:rFonts w:hint="eastAsia" w:asciiTheme="minorEastAsia" w:hAnsiTheme="minorEastAsia" w:eastAsiaTheme="minorEastAsia" w:cstheme="minorEastAsia"/>
        </w:rPr>
      </w:pPr>
      <w:r>
        <w:rPr>
          <w:rFonts w:hint="eastAsia" w:ascii="宋体" w:hAnsi="宋体" w:eastAsia="宋体" w:cs="宋体"/>
          <w:lang w:eastAsia="zh-CN"/>
        </w:rPr>
        <w:t>（</w:t>
      </w:r>
      <w:r>
        <w:rPr>
          <w:rFonts w:hint="eastAsia" w:ascii="宋体" w:hAnsi="宋体" w:eastAsia="宋体" w:cs="宋体"/>
          <w:lang w:val="en-US" w:eastAsia="zh-CN"/>
        </w:rPr>
        <w:t>7</w:t>
      </w:r>
      <w:r>
        <w:rPr>
          <w:rFonts w:hint="eastAsia" w:ascii="宋体" w:hAnsi="宋体" w:eastAsia="宋体" w:cs="宋体"/>
          <w:lang w:eastAsia="zh-CN"/>
        </w:rPr>
        <w:t>）</w:t>
      </w:r>
      <w:r>
        <w:rPr>
          <w:rFonts w:hint="eastAsia" w:asciiTheme="minorEastAsia" w:hAnsiTheme="minorEastAsia" w:eastAsiaTheme="minorEastAsia" w:cstheme="minorEastAsia"/>
        </w:rPr>
        <w:t>《危险废物贮存污染控制标准》（GB18597-2001）及其标准修改单（环境保护部公告2013 年第36号）执行。；</w:t>
      </w:r>
    </w:p>
    <w:p>
      <w:pPr>
        <w:pStyle w:val="47"/>
        <w:numPr>
          <w:ilvl w:val="0"/>
          <w:numId w:val="0"/>
        </w:numPr>
        <w:spacing w:line="360" w:lineRule="auto"/>
        <w:ind w:leftChars="0" w:firstLine="240" w:firstLineChars="100"/>
        <w:jc w:val="left"/>
        <w:rPr>
          <w:rFonts w:ascii="宋体" w:hAnsi="宋体" w:eastAsia="宋体" w:cs="宋体"/>
        </w:rPr>
      </w:pP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lang w:val="en-US" w:eastAsia="zh-CN"/>
        </w:rPr>
        <w:t>8</w:t>
      </w:r>
      <w:r>
        <w:rPr>
          <w:rFonts w:hint="eastAsia" w:asciiTheme="minorEastAsia" w:hAnsiTheme="minorEastAsia" w:eastAsiaTheme="minorEastAsia" w:cstheme="minorEastAsia"/>
          <w:lang w:eastAsia="zh-CN"/>
        </w:rPr>
        <w:t>）</w:t>
      </w:r>
      <w:r>
        <w:rPr>
          <w:rFonts w:hint="eastAsia" w:asciiTheme="minorEastAsia" w:hAnsiTheme="minorEastAsia" w:eastAsiaTheme="minorEastAsia" w:cstheme="minorEastAsia"/>
        </w:rPr>
        <w:t>《一般工业固体废物贮存和填埋污染控制标准》 (GB18599-2020)；</w:t>
      </w:r>
    </w:p>
    <w:p>
      <w:pPr>
        <w:pStyle w:val="4"/>
        <w:rPr>
          <w:rFonts w:ascii="宋体" w:hAnsi="宋体" w:eastAsia="宋体" w:cs="宋体"/>
          <w:sz w:val="28"/>
          <w:szCs w:val="28"/>
        </w:rPr>
      </w:pPr>
      <w:bookmarkStart w:id="47" w:name="_Toc23601"/>
      <w:bookmarkStart w:id="48" w:name="_Toc15692"/>
      <w:bookmarkStart w:id="49" w:name="_Toc28701"/>
      <w:r>
        <w:rPr>
          <w:rFonts w:hint="eastAsia" w:ascii="宋体" w:hAnsi="宋体" w:eastAsia="宋体" w:cs="宋体"/>
          <w:sz w:val="28"/>
          <w:szCs w:val="28"/>
        </w:rPr>
        <w:t>2.3主要环保技术文件及相关批复文件</w:t>
      </w:r>
      <w:bookmarkEnd w:id="44"/>
      <w:bookmarkEnd w:id="45"/>
      <w:bookmarkEnd w:id="46"/>
      <w:bookmarkEnd w:id="47"/>
      <w:bookmarkEnd w:id="48"/>
      <w:bookmarkEnd w:id="49"/>
      <w:r>
        <w:rPr>
          <w:rFonts w:hint="eastAsia" w:ascii="宋体" w:hAnsi="宋体" w:eastAsia="宋体" w:cs="宋体"/>
          <w:sz w:val="28"/>
          <w:szCs w:val="28"/>
        </w:rPr>
        <w:t xml:space="preserve"> </w:t>
      </w:r>
    </w:p>
    <w:p>
      <w:pPr>
        <w:keepNext w:val="0"/>
        <w:keepLines w:val="0"/>
        <w:widowControl/>
        <w:suppressLineNumbers w:val="0"/>
        <w:ind w:left="0" w:leftChars="0" w:firstLine="480" w:firstLineChars="200"/>
        <w:jc w:val="left"/>
        <w:rPr>
          <w:rFonts w:ascii="宋体" w:hAnsi="宋体" w:eastAsia="宋体" w:cs="宋体"/>
        </w:rPr>
      </w:pPr>
      <w:r>
        <w:rPr>
          <w:rFonts w:hint="eastAsia" w:ascii="宋体" w:hAnsi="宋体" w:eastAsia="宋体" w:cs="宋体"/>
          <w:kern w:val="2"/>
          <w:sz w:val="24"/>
          <w:szCs w:val="24"/>
          <w:lang w:val="en-US" w:eastAsia="zh-CN" w:bidi="ar-SA"/>
        </w:rPr>
        <w:t xml:space="preserve">⑴ </w:t>
      </w:r>
      <w:r>
        <w:rPr>
          <w:rFonts w:hint="eastAsia" w:ascii="宋体" w:hAnsi="宋体" w:eastAsia="宋体" w:cs="宋体"/>
        </w:rPr>
        <w:t>《</w:t>
      </w:r>
      <w:r>
        <w:rPr>
          <w:rFonts w:hint="eastAsia" w:asciiTheme="minorEastAsia" w:hAnsiTheme="minorEastAsia" w:eastAsiaTheme="minorEastAsia"/>
          <w:lang w:eastAsia="zh-CN"/>
        </w:rPr>
        <w:t>浙江铭泽农牧发展有限公司衢江区铭泽公司肉牛养殖项目环境影响报告书</w:t>
      </w:r>
      <w:r>
        <w:rPr>
          <w:rFonts w:hint="eastAsia" w:ascii="宋体" w:hAnsi="宋体" w:eastAsia="宋体" w:cs="宋体"/>
        </w:rPr>
        <w:t>》，</w:t>
      </w:r>
      <w:r>
        <w:rPr>
          <w:rFonts w:hint="eastAsia" w:ascii="宋体" w:hAnsi="宋体" w:eastAsia="宋体" w:cs="宋体"/>
          <w:b w:val="0"/>
          <w:bCs w:val="0"/>
          <w:color w:val="000000"/>
          <w:kern w:val="0"/>
          <w:sz w:val="24"/>
          <w:szCs w:val="24"/>
          <w:lang w:val="en-US" w:eastAsia="zh-CN" w:bidi="ar"/>
        </w:rPr>
        <w:t>浙江翠金环境科技</w:t>
      </w:r>
      <w:r>
        <w:rPr>
          <w:rFonts w:hint="eastAsia" w:ascii="宋体" w:hAnsi="宋体" w:eastAsia="宋体" w:cs="宋体"/>
        </w:rPr>
        <w:t>有限公司（</w:t>
      </w:r>
      <w:r>
        <w:rPr>
          <w:rFonts w:ascii="宋体" w:hAnsi="宋体" w:eastAsia="宋体" w:cs="宋体"/>
        </w:rPr>
        <w:t>20</w:t>
      </w:r>
      <w:r>
        <w:rPr>
          <w:rFonts w:hint="eastAsia" w:ascii="宋体" w:hAnsi="宋体" w:eastAsia="宋体" w:cs="宋体"/>
          <w:lang w:val="en-US" w:eastAsia="zh-CN"/>
        </w:rPr>
        <w:t>21</w:t>
      </w:r>
      <w:r>
        <w:rPr>
          <w:rFonts w:hint="eastAsia" w:ascii="宋体" w:hAnsi="宋体" w:eastAsia="宋体" w:cs="宋体"/>
        </w:rPr>
        <w:t>年</w:t>
      </w:r>
      <w:r>
        <w:rPr>
          <w:rFonts w:hint="eastAsia" w:ascii="宋体" w:hAnsi="宋体" w:eastAsia="宋体" w:cs="宋体"/>
          <w:lang w:val="en-US" w:eastAsia="zh-CN"/>
        </w:rPr>
        <w:t>8</w:t>
      </w:r>
      <w:r>
        <w:rPr>
          <w:rFonts w:hint="eastAsia" w:ascii="宋体" w:hAnsi="宋体" w:eastAsia="宋体" w:cs="宋体"/>
        </w:rPr>
        <w:t>月）；</w:t>
      </w:r>
    </w:p>
    <w:p>
      <w:pPr>
        <w:pStyle w:val="47"/>
        <w:numPr>
          <w:ilvl w:val="0"/>
          <w:numId w:val="0"/>
        </w:numPr>
        <w:spacing w:line="360" w:lineRule="auto"/>
        <w:ind w:leftChars="0" w:firstLine="480" w:firstLineChars="200"/>
        <w:rPr>
          <w:rFonts w:ascii="宋体" w:hAnsi="宋体" w:eastAsia="宋体" w:cs="宋体"/>
        </w:rPr>
      </w:pPr>
      <w:r>
        <w:rPr>
          <w:rFonts w:hint="eastAsia" w:ascii="宋体" w:hAnsi="宋体" w:eastAsia="宋体" w:cs="宋体"/>
        </w:rPr>
        <w:t>⑵《</w:t>
      </w:r>
      <w:r>
        <w:rPr>
          <w:rFonts w:hint="eastAsia" w:asciiTheme="minorEastAsia" w:hAnsiTheme="minorEastAsia" w:eastAsiaTheme="minorEastAsia"/>
          <w:lang w:eastAsia="zh-CN"/>
        </w:rPr>
        <w:t>浙江铭泽农牧发展有限公司衢江区铭泽公司肉牛养殖项目环境影响报告书</w:t>
      </w:r>
      <w:r>
        <w:rPr>
          <w:rFonts w:hint="eastAsia" w:ascii="宋体" w:hAnsi="宋体" w:eastAsia="宋体" w:cs="宋体"/>
        </w:rPr>
        <w:t>》的审查意见，</w:t>
      </w:r>
      <w:r>
        <w:rPr>
          <w:rFonts w:hint="eastAsia" w:ascii="宋体" w:hAnsi="宋体" w:eastAsia="宋体" w:cs="宋体"/>
          <w:lang w:val="en-US" w:eastAsia="zh-CN"/>
        </w:rPr>
        <w:t>衢江区生态</w:t>
      </w:r>
      <w:r>
        <w:rPr>
          <w:rFonts w:hint="eastAsia" w:ascii="宋体" w:hAnsi="宋体" w:eastAsia="宋体" w:cs="宋体"/>
        </w:rPr>
        <w:t>环境</w:t>
      </w:r>
      <w:r>
        <w:rPr>
          <w:rFonts w:hint="eastAsia" w:ascii="宋体" w:hAnsi="宋体" w:eastAsia="宋体" w:cs="宋体"/>
          <w:lang w:val="en-US" w:eastAsia="zh-CN"/>
        </w:rPr>
        <w:t>分</w:t>
      </w:r>
      <w:r>
        <w:rPr>
          <w:rFonts w:hint="eastAsia" w:ascii="宋体" w:hAnsi="宋体" w:eastAsia="宋体" w:cs="宋体"/>
        </w:rPr>
        <w:t>局文件（</w:t>
      </w:r>
      <w:r>
        <w:rPr>
          <w:rFonts w:hint="eastAsia" w:ascii="宋体" w:hAnsi="宋体" w:eastAsia="宋体" w:cs="宋体"/>
          <w:lang w:val="en-US" w:eastAsia="zh-CN"/>
        </w:rPr>
        <w:t>衢</w:t>
      </w:r>
      <w:r>
        <w:rPr>
          <w:rFonts w:hint="eastAsia" w:ascii="宋体" w:hAnsi="宋体" w:eastAsia="宋体" w:cs="宋体"/>
        </w:rPr>
        <w:t>江环建[20</w:t>
      </w:r>
      <w:r>
        <w:rPr>
          <w:rFonts w:hint="eastAsia" w:ascii="宋体" w:hAnsi="宋体" w:eastAsia="宋体" w:cs="宋体"/>
          <w:lang w:val="en-US" w:eastAsia="zh-CN"/>
        </w:rPr>
        <w:t>21</w:t>
      </w:r>
      <w:r>
        <w:rPr>
          <w:rFonts w:hint="eastAsia" w:ascii="宋体" w:hAnsi="宋体" w:eastAsia="宋体" w:cs="宋体"/>
        </w:rPr>
        <w:t>]35号）；</w:t>
      </w:r>
    </w:p>
    <w:p>
      <w:pPr>
        <w:pStyle w:val="47"/>
        <w:numPr>
          <w:ilvl w:val="0"/>
          <w:numId w:val="0"/>
        </w:numPr>
        <w:spacing w:line="360" w:lineRule="auto"/>
        <w:ind w:leftChars="0" w:firstLine="480" w:firstLineChars="200"/>
        <w:rPr>
          <w:rFonts w:ascii="宋体" w:hAnsi="宋体" w:eastAsia="宋体" w:cs="宋体"/>
        </w:rPr>
      </w:pPr>
      <w:r>
        <w:rPr>
          <w:rFonts w:hint="eastAsia" w:ascii="宋体" w:hAnsi="宋体" w:eastAsia="宋体" w:cs="宋体"/>
          <w:lang w:eastAsia="zh-CN"/>
        </w:rPr>
        <w:t>⑶</w:t>
      </w:r>
      <w:r>
        <w:rPr>
          <w:rFonts w:hint="eastAsia" w:ascii="宋体" w:hAnsi="宋体" w:eastAsia="宋体" w:cs="宋体"/>
          <w:lang w:val="en-US" w:eastAsia="zh-CN"/>
        </w:rPr>
        <w:t xml:space="preserve"> </w:t>
      </w:r>
      <w:r>
        <w:rPr>
          <w:rFonts w:hint="eastAsia" w:ascii="宋体" w:hAnsi="宋体" w:eastAsia="宋体" w:cs="宋体"/>
          <w:lang w:eastAsia="zh-CN"/>
        </w:rPr>
        <w:t>浙江铭泽农牧发展有限公司</w:t>
      </w:r>
      <w:r>
        <w:rPr>
          <w:rFonts w:ascii="宋体" w:hAnsi="宋体" w:eastAsia="宋体" w:cs="宋体"/>
        </w:rPr>
        <w:t>与</w:t>
      </w:r>
      <w:r>
        <w:rPr>
          <w:rFonts w:hint="eastAsia" w:ascii="宋体" w:hAnsi="宋体" w:eastAsia="宋体" w:cs="宋体"/>
          <w:lang w:val="en-US" w:eastAsia="zh-CN"/>
        </w:rPr>
        <w:t>杭州华安节能环保科技有限</w:t>
      </w:r>
      <w:r>
        <w:rPr>
          <w:rFonts w:ascii="宋体" w:hAnsi="宋体" w:eastAsia="宋体" w:cs="宋体"/>
        </w:rPr>
        <w:t>公司签订的验收</w:t>
      </w:r>
      <w:r>
        <w:rPr>
          <w:rFonts w:hint="eastAsia" w:ascii="宋体" w:hAnsi="宋体" w:eastAsia="宋体" w:cs="宋体"/>
        </w:rPr>
        <w:t>监测</w:t>
      </w:r>
      <w:r>
        <w:rPr>
          <w:rFonts w:ascii="宋体" w:hAnsi="宋体" w:eastAsia="宋体" w:cs="宋体"/>
        </w:rPr>
        <w:t>委托协议；</w:t>
      </w:r>
    </w:p>
    <w:p>
      <w:pPr>
        <w:pStyle w:val="47"/>
        <w:numPr>
          <w:ilvl w:val="0"/>
          <w:numId w:val="0"/>
        </w:numPr>
        <w:spacing w:line="360" w:lineRule="auto"/>
        <w:ind w:leftChars="0" w:firstLine="480" w:firstLineChars="200"/>
        <w:rPr>
          <w:rFonts w:ascii="宋体" w:hAnsi="宋体" w:eastAsia="宋体" w:cs="宋体"/>
        </w:rPr>
      </w:pPr>
      <w:r>
        <w:rPr>
          <w:rFonts w:hint="eastAsia" w:ascii="宋体" w:hAnsi="宋体" w:eastAsia="宋体" w:cs="宋体"/>
          <w:lang w:eastAsia="zh-CN"/>
        </w:rPr>
        <w:t>⑷</w:t>
      </w:r>
      <w:r>
        <w:rPr>
          <w:rFonts w:hint="eastAsia" w:ascii="宋体" w:hAnsi="宋体" w:eastAsia="宋体" w:cs="宋体"/>
          <w:lang w:val="en-US" w:eastAsia="zh-CN"/>
        </w:rPr>
        <w:t xml:space="preserve"> </w:t>
      </w:r>
      <w:r>
        <w:rPr>
          <w:rFonts w:hint="eastAsia" w:ascii="宋体" w:hAnsi="宋体" w:eastAsia="宋体" w:cs="宋体"/>
          <w:lang w:eastAsia="zh-CN"/>
        </w:rPr>
        <w:t>浙江铭泽农牧发展有限公司</w:t>
      </w:r>
      <w:r>
        <w:rPr>
          <w:rFonts w:ascii="宋体" w:hAnsi="宋体" w:eastAsia="宋体" w:cs="宋体"/>
        </w:rPr>
        <w:t>提供的其他相关资料。</w:t>
      </w:r>
    </w:p>
    <w:p>
      <w:pPr>
        <w:pStyle w:val="2"/>
        <w:numPr>
          <w:ilvl w:val="0"/>
          <w:numId w:val="0"/>
        </w:numPr>
        <w:rPr>
          <w:rFonts w:ascii="宋体" w:hAnsi="宋体" w:cs="宋体"/>
          <w:sz w:val="30"/>
          <w:szCs w:val="30"/>
        </w:rPr>
      </w:pPr>
      <w:bookmarkStart w:id="50" w:name="_Toc20358"/>
      <w:bookmarkStart w:id="51" w:name="_Toc15086"/>
      <w:bookmarkStart w:id="52" w:name="_Toc25760"/>
      <w:r>
        <w:rPr>
          <w:rFonts w:hint="eastAsia" w:ascii="宋体" w:hAnsi="宋体" w:cs="宋体"/>
          <w:sz w:val="30"/>
          <w:szCs w:val="30"/>
          <w:lang w:val="en-US" w:eastAsia="zh-CN"/>
        </w:rPr>
        <w:t>3、</w:t>
      </w:r>
      <w:r>
        <w:rPr>
          <w:rFonts w:hint="eastAsia" w:ascii="宋体" w:hAnsi="宋体" w:cs="宋体"/>
          <w:sz w:val="30"/>
          <w:szCs w:val="30"/>
        </w:rPr>
        <w:t>工程建设情况</w:t>
      </w:r>
      <w:bookmarkEnd w:id="50"/>
      <w:bookmarkEnd w:id="51"/>
      <w:bookmarkEnd w:id="52"/>
    </w:p>
    <w:p>
      <w:pPr>
        <w:pStyle w:val="4"/>
        <w:rPr>
          <w:rFonts w:hint="eastAsia" w:ascii="宋体" w:hAnsi="宋体" w:eastAsia="宋体" w:cs="宋体"/>
          <w:sz w:val="28"/>
          <w:szCs w:val="28"/>
        </w:rPr>
      </w:pPr>
      <w:bookmarkStart w:id="53" w:name="_Toc4505"/>
      <w:bookmarkStart w:id="54" w:name="_Toc30105"/>
      <w:bookmarkStart w:id="55" w:name="_Toc4650"/>
      <w:bookmarkStart w:id="56" w:name="_Toc14500"/>
      <w:bookmarkStart w:id="57" w:name="_Toc21119"/>
      <w:bookmarkStart w:id="58" w:name="_Toc18473"/>
      <w:r>
        <w:rPr>
          <w:rFonts w:hint="eastAsia" w:ascii="宋体" w:hAnsi="宋体" w:eastAsia="宋体" w:cs="宋体"/>
          <w:sz w:val="28"/>
          <w:szCs w:val="28"/>
        </w:rPr>
        <w:t>3.1地理位置及平面布置</w:t>
      </w:r>
      <w:bookmarkEnd w:id="53"/>
      <w:bookmarkEnd w:id="54"/>
      <w:bookmarkEnd w:id="55"/>
      <w:bookmarkEnd w:id="56"/>
      <w:bookmarkEnd w:id="57"/>
      <w:bookmarkEnd w:id="58"/>
    </w:p>
    <w:p>
      <w:pPr>
        <w:ind w:left="0" w:leftChars="0" w:firstLine="480" w:firstLineChars="200"/>
        <w:rPr>
          <w:rFonts w:hint="default" w:eastAsia="宋体"/>
          <w:lang w:val="en-US" w:eastAsia="zh-CN"/>
        </w:rPr>
      </w:pPr>
      <w:r>
        <w:rPr>
          <w:rFonts w:hint="eastAsia" w:ascii="宋体" w:hAnsi="宋体" w:eastAsia="宋体" w:cs="宋体"/>
          <w:lang w:val="en-US" w:eastAsia="zh-CN"/>
        </w:rPr>
        <w:t>⑴ 建设项目地理位置</w:t>
      </w:r>
    </w:p>
    <w:p>
      <w:pPr>
        <w:keepNext w:val="0"/>
        <w:keepLines w:val="0"/>
        <w:widowControl/>
        <w:suppressLineNumbers w:val="0"/>
        <w:spacing w:line="360" w:lineRule="auto"/>
        <w:jc w:val="left"/>
        <w:rPr>
          <w:rFonts w:hint="eastAsia" w:ascii="宋体" w:hAnsi="宋体" w:eastAsia="宋体" w:cs="宋体"/>
          <w:color w:val="000000"/>
          <w:kern w:val="0"/>
          <w:sz w:val="24"/>
          <w:szCs w:val="24"/>
          <w:lang w:val="en-US" w:eastAsia="zh-CN" w:bidi="ar"/>
        </w:rPr>
      </w:pPr>
      <w:r>
        <w:rPr>
          <w:rFonts w:hint="eastAsia" w:ascii="宋体" w:hAnsi="宋体" w:eastAsia="宋体" w:cs="宋体"/>
          <w:b w:val="0"/>
          <w:bCs w:val="0"/>
          <w:lang w:val="en-US" w:eastAsia="zh-CN"/>
        </w:rPr>
        <w:t>本</w:t>
      </w:r>
      <w:r>
        <w:rPr>
          <w:rFonts w:hint="default" w:ascii="宋体" w:hAnsi="宋体" w:eastAsia="宋体" w:cs="宋体"/>
          <w:b w:val="0"/>
          <w:bCs w:val="0"/>
          <w:lang w:eastAsia="zh-CN"/>
        </w:rPr>
        <w:t>建设</w:t>
      </w:r>
      <w:r>
        <w:rPr>
          <w:rFonts w:hint="eastAsia" w:ascii="宋体" w:hAnsi="宋体" w:eastAsia="宋体" w:cs="宋体"/>
          <w:b w:val="0"/>
          <w:bCs w:val="0"/>
          <w:lang w:val="en-US" w:eastAsia="zh-CN"/>
        </w:rPr>
        <w:t xml:space="preserve">项目位于 </w:t>
      </w:r>
      <w:r>
        <w:rPr>
          <w:rFonts w:hint="eastAsia" w:asciiTheme="minorEastAsia" w:hAnsiTheme="minorEastAsia" w:eastAsiaTheme="minorEastAsia" w:cstheme="minorEastAsia"/>
          <w:lang w:val="en-US" w:eastAsia="zh-CN"/>
        </w:rPr>
        <w:t>衢州市衢江区黄毛畈村黄巴拢附近的山地、林地</w:t>
      </w:r>
      <w:r>
        <w:rPr>
          <w:rFonts w:hint="eastAsia" w:ascii="宋体" w:hAnsi="宋体" w:eastAsia="宋体" w:cs="宋体"/>
          <w:b w:val="0"/>
          <w:bCs w:val="0"/>
          <w:lang w:val="en-US" w:eastAsia="zh-CN"/>
        </w:rPr>
        <w:t xml:space="preserve"> ，根据《畜禽污染防治技术规范》规定，禁止在城市和城镇居民区等人口集中地区建设畜禽养殖场，在禁建区附近建设的，应设在禁建区域常年主导风向的下风向或侧风向，厂界与禁建区边界的最小距离不得小于500m，</w:t>
      </w:r>
      <w:r>
        <w:rPr>
          <w:rFonts w:hint="eastAsia" w:ascii="宋体" w:hAnsi="宋体" w:eastAsia="宋体" w:cs="宋体"/>
          <w:color w:val="000000"/>
          <w:kern w:val="0"/>
          <w:sz w:val="24"/>
          <w:szCs w:val="24"/>
          <w:lang w:val="en-US" w:eastAsia="zh-CN" w:bidi="ar"/>
        </w:rPr>
        <w:t>根据现场踏勘，项目东面为山体和林地；南面为林地和 山塘；西面为山塘和西垅水库，北面为衢宁铁路。</w:t>
      </w:r>
    </w:p>
    <w:p>
      <w:pPr>
        <w:keepNext w:val="0"/>
        <w:keepLines w:val="0"/>
        <w:widowControl/>
        <w:suppressLineNumbers w:val="0"/>
        <w:spacing w:line="360" w:lineRule="auto"/>
        <w:jc w:val="left"/>
        <w:rPr>
          <w:rFonts w:hint="eastAsia" w:asciiTheme="minorEastAsia" w:hAnsiTheme="minorEastAsia" w:eastAsiaTheme="minorEastAsia"/>
          <w:lang w:eastAsia="zh-CN"/>
        </w:rPr>
      </w:pPr>
      <w:r>
        <w:rPr>
          <w:rFonts w:hint="eastAsia" w:ascii="宋体" w:hAnsi="宋体" w:eastAsia="宋体" w:cs="宋体"/>
          <w:color w:val="000000"/>
          <w:kern w:val="0"/>
          <w:sz w:val="24"/>
          <w:szCs w:val="24"/>
          <w:lang w:val="en-US" w:eastAsia="zh-CN" w:bidi="ar"/>
        </w:rPr>
        <w:t xml:space="preserve">衢州市常年风向为东北偏东风，厂址最近敏感点黄毛畈村位于养牛场上风向，东侧 </w:t>
      </w:r>
      <w:r>
        <w:rPr>
          <w:rFonts w:hint="default" w:ascii="Times New Roman" w:hAnsi="Times New Roman" w:eastAsia="宋体" w:cs="Times New Roman"/>
          <w:color w:val="000000"/>
          <w:kern w:val="0"/>
          <w:sz w:val="24"/>
          <w:szCs w:val="24"/>
          <w:lang w:val="en-US" w:eastAsia="zh-CN" w:bidi="ar"/>
        </w:rPr>
        <w:t xml:space="preserve">466m </w:t>
      </w:r>
      <w:r>
        <w:rPr>
          <w:rFonts w:hint="eastAsia" w:ascii="宋体" w:hAnsi="宋体" w:eastAsia="宋体" w:cs="宋体"/>
          <w:color w:val="000000"/>
          <w:kern w:val="0"/>
          <w:sz w:val="24"/>
          <w:szCs w:val="24"/>
          <w:lang w:val="en-US" w:eastAsia="zh-CN" w:bidi="ar"/>
        </w:rPr>
        <w:t>上何村</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属于黄毛畈行政村</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间隔山体，下风向最近敏感点 为毛村</w:t>
      </w:r>
      <w:r>
        <w:rPr>
          <w:rFonts w:hint="default" w:ascii="Times New Roman" w:hAnsi="Times New Roman" w:eastAsia="宋体" w:cs="Times New Roman"/>
          <w:color w:val="000000"/>
          <w:kern w:val="0"/>
          <w:sz w:val="24"/>
          <w:szCs w:val="24"/>
          <w:lang w:val="en-US" w:eastAsia="zh-CN" w:bidi="ar"/>
        </w:rPr>
        <w:t>(SW</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1850m)</w:t>
      </w:r>
      <w:r>
        <w:rPr>
          <w:rFonts w:hint="eastAsia" w:ascii="宋体" w:hAnsi="宋体" w:eastAsia="宋体" w:cs="宋体"/>
          <w:color w:val="000000"/>
          <w:kern w:val="0"/>
          <w:sz w:val="24"/>
          <w:szCs w:val="24"/>
          <w:lang w:val="en-US" w:eastAsia="zh-CN" w:bidi="ar"/>
        </w:rPr>
        <w:t>，根据实地踏勘，恶臭对敏感点影响甚微。</w:t>
      </w:r>
    </w:p>
    <w:p>
      <w:pPr>
        <w:widowControl/>
        <w:autoSpaceDE w:val="0"/>
        <w:autoSpaceDN w:val="0"/>
        <w:adjustRightInd w:val="0"/>
        <w:snapToGrid w:val="0"/>
        <w:spacing w:line="360" w:lineRule="auto"/>
        <w:ind w:firstLine="480"/>
        <w:rPr>
          <w:rFonts w:ascii="宋体" w:hAnsi="宋体" w:eastAsia="宋体" w:cs="宋体"/>
        </w:rPr>
      </w:pPr>
      <w:r>
        <w:rPr>
          <w:rFonts w:hint="default" w:ascii="宋体" w:hAnsi="宋体" w:eastAsia="宋体" w:cs="宋体"/>
        </w:rPr>
        <w:t>建设</w:t>
      </w:r>
      <w:r>
        <w:rPr>
          <w:rFonts w:hint="eastAsia" w:ascii="宋体" w:hAnsi="宋体" w:eastAsia="宋体" w:cs="宋体"/>
        </w:rPr>
        <w:t>项目地理位置见图3-1，项目周围环境情况见图3-2，项目</w:t>
      </w:r>
      <w:r>
        <w:rPr>
          <w:rFonts w:ascii="宋体" w:hAnsi="宋体" w:eastAsia="宋体" w:cs="宋体"/>
        </w:rPr>
        <w:t>厂</w:t>
      </w:r>
      <w:r>
        <w:rPr>
          <w:rFonts w:hint="eastAsia" w:ascii="宋体" w:hAnsi="宋体" w:eastAsia="宋体" w:cs="宋体"/>
        </w:rPr>
        <w:t>区平面布置见图3-3。</w:t>
      </w:r>
    </w:p>
    <w:p>
      <w:pPr>
        <w:widowControl/>
        <w:autoSpaceDE w:val="0"/>
        <w:autoSpaceDN w:val="0"/>
        <w:adjustRightInd w:val="0"/>
        <w:snapToGrid w:val="0"/>
        <w:spacing w:line="360" w:lineRule="auto"/>
        <w:ind w:firstLine="0" w:firstLineChars="0"/>
        <w:jc w:val="center"/>
        <w:rPr>
          <w:rFonts w:hint="eastAsia" w:ascii="宋体" w:hAnsi="宋体" w:eastAsia="宋体" w:cs="宋体"/>
          <w:lang w:eastAsia="zh-CN"/>
        </w:rPr>
      </w:pPr>
      <w:r>
        <w:rPr>
          <w:rFonts w:hint="eastAsia" w:ascii="宋体" w:hAnsi="宋体" w:eastAsia="宋体" w:cs="宋体"/>
          <w:lang w:eastAsia="zh-CN"/>
        </w:rPr>
        <w:drawing>
          <wp:inline distT="0" distB="0" distL="114300" distR="114300">
            <wp:extent cx="5422900" cy="3558540"/>
            <wp:effectExtent l="0" t="0" r="6350" b="3810"/>
            <wp:docPr id="1" name="图片 1" descr="微信截图_2022122813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截图_20221228135215"/>
                    <pic:cNvPicPr>
                      <a:picLocks noChangeAspect="1"/>
                    </pic:cNvPicPr>
                  </pic:nvPicPr>
                  <pic:blipFill>
                    <a:blip r:embed="rId10"/>
                    <a:stretch>
                      <a:fillRect/>
                    </a:stretch>
                  </pic:blipFill>
                  <pic:spPr>
                    <a:xfrm>
                      <a:off x="0" y="0"/>
                      <a:ext cx="5422900" cy="3558540"/>
                    </a:xfrm>
                    <a:prstGeom prst="rect">
                      <a:avLst/>
                    </a:prstGeom>
                  </pic:spPr>
                </pic:pic>
              </a:graphicData>
            </a:graphic>
          </wp:inline>
        </w:drawing>
      </w:r>
    </w:p>
    <w:p>
      <w:pPr>
        <w:autoSpaceDE w:val="0"/>
        <w:autoSpaceDN w:val="0"/>
        <w:spacing w:line="360" w:lineRule="auto"/>
        <w:ind w:firstLine="0" w:firstLineChars="0"/>
        <w:jc w:val="center"/>
        <w:rPr>
          <w:rFonts w:hint="eastAsia" w:ascii="宋体" w:hAnsi="宋体" w:eastAsia="宋体" w:cs="宋体"/>
          <w:color w:val="000000"/>
          <w:kern w:val="0"/>
          <w:sz w:val="24"/>
          <w:szCs w:val="24"/>
          <w:lang w:val="en-US" w:eastAsia="zh-CN" w:bidi="ar"/>
        </w:rPr>
      </w:pPr>
      <w:r>
        <w:rPr>
          <w:rFonts w:hint="eastAsia" w:ascii="宋体" w:hAnsi="宋体" w:eastAsia="宋体" w:cs="宋体"/>
          <w:b/>
          <w:bCs/>
        </w:rPr>
        <w:t>图 3</w:t>
      </w:r>
      <w:r>
        <w:rPr>
          <w:rFonts w:hint="eastAsia" w:ascii="宋体" w:hAnsi="宋体" w:eastAsia="宋体" w:cs="宋体"/>
          <w:b/>
          <w:bCs/>
          <w:lang w:val="en-US" w:eastAsia="zh-CN"/>
        </w:rPr>
        <w:t>.1</w:t>
      </w:r>
      <w:r>
        <w:rPr>
          <w:rFonts w:hint="eastAsia" w:ascii="宋体" w:hAnsi="宋体" w:eastAsia="宋体" w:cs="宋体"/>
          <w:b/>
          <w:bCs/>
        </w:rPr>
        <w:t>-1  项目地理位置图</w:t>
      </w:r>
    </w:p>
    <w:p>
      <w:pPr>
        <w:keepNext w:val="0"/>
        <w:keepLines w:val="0"/>
        <w:widowControl/>
        <w:suppressLineNumbers w:val="0"/>
        <w:spacing w:line="360" w:lineRule="auto"/>
        <w:ind w:left="0" w:leftChars="0" w:firstLine="0" w:firstLineChars="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⑵ 建设项目平面布置</w:t>
      </w:r>
    </w:p>
    <w:p>
      <w:pPr>
        <w:keepNext w:val="0"/>
        <w:keepLines w:val="0"/>
        <w:widowControl/>
        <w:suppressLineNumbers w:val="0"/>
        <w:spacing w:line="360" w:lineRule="auto"/>
        <w:ind w:left="0" w:leftChars="0" w:firstLine="480" w:firstLineChars="200"/>
        <w:jc w:val="left"/>
      </w:pPr>
      <w:r>
        <w:rPr>
          <w:rFonts w:hint="eastAsia" w:ascii="宋体" w:hAnsi="宋体" w:eastAsia="宋体" w:cs="宋体"/>
          <w:color w:val="000000"/>
          <w:kern w:val="0"/>
          <w:sz w:val="24"/>
          <w:szCs w:val="24"/>
          <w:lang w:val="en-US" w:eastAsia="zh-CN" w:bidi="ar"/>
        </w:rPr>
        <w:t>本项目位于衢州市衢江区黄毛畈村黄巴垅附近的山地、林地，根据场区的地形貌，外部运输条件，本项目设一个住出入口。出入口设在地块西南侧。项目整个建设工程分为栏舍用房、料场房、辅助用房、粪污处理区等。厂区分为治污区、生产区及生活区 三个区域，生活区位于厂区东北侧位置；生产区位于厂区中南部，占整个厂区大部分 面积，主要为栏舍和饲料加工车间；治污区位于厂区西北侧，治污区主要建设内容有初期雨水池等，便于养殖废弃物收集处理。饲养区和配套功能区择地分置，自成体系，相对隔离，以利卫生防疫和清洁生产。项目区域主导风向为 东北偏东风，总整体平面布置上看，项目生产区及治污区分别设置在厂区东北侧及西 北侧，生活区位于地块东北侧，属于厂区上风向。中南部养殖区位置为山体坡地，养殖区距离西侧西垅水库</w:t>
      </w:r>
      <w:r>
        <w:rPr>
          <w:rFonts w:hint="default" w:ascii="Times New Roman" w:hAnsi="Times New Roman" w:eastAsia="宋体" w:cs="Times New Roman"/>
          <w:color w:val="000000"/>
          <w:kern w:val="0"/>
          <w:sz w:val="24"/>
          <w:szCs w:val="24"/>
          <w:lang w:val="en-US" w:eastAsia="zh-CN" w:bidi="ar"/>
        </w:rPr>
        <w:t xml:space="preserve">135m </w:t>
      </w:r>
      <w:r>
        <w:rPr>
          <w:rFonts w:hint="eastAsia" w:ascii="宋体" w:hAnsi="宋体" w:eastAsia="宋体" w:cs="宋体"/>
          <w:color w:val="000000"/>
          <w:kern w:val="0"/>
          <w:sz w:val="24"/>
          <w:szCs w:val="24"/>
          <w:lang w:val="en-US" w:eastAsia="zh-CN" w:bidi="ar"/>
        </w:rPr>
        <w:t xml:space="preserve">和山塘 </w:t>
      </w:r>
      <w:r>
        <w:rPr>
          <w:rFonts w:hint="default" w:ascii="Times New Roman" w:hAnsi="Times New Roman" w:eastAsia="宋体" w:cs="Times New Roman"/>
          <w:color w:val="000000"/>
          <w:kern w:val="0"/>
          <w:sz w:val="24"/>
          <w:szCs w:val="24"/>
          <w:lang w:val="en-US" w:eastAsia="zh-CN" w:bidi="ar"/>
        </w:rPr>
        <w:t>11m</w:t>
      </w:r>
      <w:r>
        <w:rPr>
          <w:rFonts w:hint="eastAsia" w:ascii="宋体" w:hAnsi="宋体" w:eastAsia="宋体" w:cs="宋体"/>
          <w:color w:val="000000"/>
          <w:kern w:val="0"/>
          <w:sz w:val="24"/>
          <w:szCs w:val="24"/>
          <w:lang w:val="en-US" w:eastAsia="zh-CN" w:bidi="ar"/>
        </w:rPr>
        <w:t xml:space="preserve">，场地内经雨污分流、清污分流后对西侧西垅水库及山塘影响不大。 </w:t>
      </w:r>
    </w:p>
    <w:p>
      <w:pPr>
        <w:keepNext w:val="0"/>
        <w:keepLines w:val="0"/>
        <w:widowControl/>
        <w:suppressLineNumbers w:val="0"/>
        <w:spacing w:line="360" w:lineRule="auto"/>
        <w:jc w:val="left"/>
      </w:pPr>
      <w:r>
        <w:rPr>
          <w:rFonts w:hint="eastAsia" w:ascii="宋体" w:hAnsi="宋体" w:eastAsia="宋体" w:cs="宋体"/>
          <w:color w:val="000000"/>
          <w:kern w:val="0"/>
          <w:sz w:val="24"/>
          <w:szCs w:val="24"/>
          <w:lang w:val="en-US" w:eastAsia="zh-CN" w:bidi="ar"/>
        </w:rPr>
        <w:t>根据《畜禽养殖业污染防治技术规范》（</w:t>
      </w:r>
      <w:r>
        <w:rPr>
          <w:rFonts w:hint="default" w:ascii="Times New Roman" w:hAnsi="Times New Roman" w:eastAsia="宋体" w:cs="Times New Roman"/>
          <w:color w:val="000000"/>
          <w:kern w:val="0"/>
          <w:sz w:val="24"/>
          <w:szCs w:val="24"/>
          <w:lang w:val="en-US" w:eastAsia="zh-CN" w:bidi="ar"/>
        </w:rPr>
        <w:t>HJ/T81-2001</w:t>
      </w:r>
      <w:r>
        <w:rPr>
          <w:rFonts w:hint="eastAsia" w:ascii="宋体" w:hAnsi="宋体" w:eastAsia="宋体" w:cs="宋体"/>
          <w:color w:val="000000"/>
          <w:kern w:val="0"/>
          <w:sz w:val="24"/>
          <w:szCs w:val="24"/>
          <w:lang w:val="en-US" w:eastAsia="zh-CN" w:bidi="ar"/>
        </w:rPr>
        <w:t>）要求</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新建、改建、扩建的畜禽养殖场应实现生产区、生活管理区的隔离，粪便污水处理设施应在养殖场的生产、生活管理区的常年主导风向的下风向或侧风向处。根据厂址的地形地 貌、风向、道路等自然条件，将养殖场分成三个功能区，即员工生活区、生产区及治污区。</w:t>
      </w:r>
    </w:p>
    <w:p>
      <w:pPr>
        <w:pStyle w:val="28"/>
        <w:spacing w:line="240" w:lineRule="auto"/>
        <w:ind w:firstLine="0" w:firstLineChars="0"/>
        <w:rPr>
          <w:rFonts w:hint="eastAsia" w:asciiTheme="minorEastAsia" w:hAnsiTheme="minorEastAsia" w:eastAsiaTheme="minorEastAsia" w:cstheme="minorEastAsia"/>
          <w:sz w:val="21"/>
          <w:szCs w:val="21"/>
          <w:lang w:val="en-US" w:eastAsia="zh-CN"/>
        </w:rPr>
      </w:pPr>
    </w:p>
    <w:p>
      <w:pPr>
        <w:pStyle w:val="6"/>
        <w:numPr>
          <w:ilvl w:val="7"/>
          <w:numId w:val="0"/>
        </w:numPr>
        <w:ind w:leftChars="200"/>
        <w:outlineLvl w:val="9"/>
      </w:pPr>
      <w:r>
        <w:rPr>
          <w:rFonts w:hint="eastAsia" w:ascii="宋体" w:hAnsi="宋体" w:eastAsia="宋体" w:cs="宋体"/>
          <w:lang w:eastAsia="zh-CN"/>
        </w:rPr>
        <w:drawing>
          <wp:anchor distT="0" distB="0" distL="114300" distR="114300" simplePos="0" relativeHeight="251661312" behindDoc="0" locked="0" layoutInCell="1" allowOverlap="1">
            <wp:simplePos x="0" y="0"/>
            <wp:positionH relativeFrom="column">
              <wp:posOffset>-38100</wp:posOffset>
            </wp:positionH>
            <wp:positionV relativeFrom="paragraph">
              <wp:posOffset>256540</wp:posOffset>
            </wp:positionV>
            <wp:extent cx="5389880" cy="4277995"/>
            <wp:effectExtent l="0" t="0" r="1270" b="8255"/>
            <wp:wrapNone/>
            <wp:docPr id="8" name="图片 8" descr="微信截图_2022122814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截图_20221228140618"/>
                    <pic:cNvPicPr>
                      <a:picLocks noChangeAspect="1"/>
                    </pic:cNvPicPr>
                  </pic:nvPicPr>
                  <pic:blipFill>
                    <a:blip r:embed="rId11"/>
                    <a:stretch>
                      <a:fillRect/>
                    </a:stretch>
                  </pic:blipFill>
                  <pic:spPr>
                    <a:xfrm>
                      <a:off x="0" y="0"/>
                      <a:ext cx="5389880" cy="4277995"/>
                    </a:xfrm>
                    <a:prstGeom prst="rect">
                      <a:avLst/>
                    </a:prstGeom>
                  </pic:spPr>
                </pic:pic>
              </a:graphicData>
            </a:graphic>
          </wp:anchor>
        </w:drawing>
      </w:r>
    </w:p>
    <w:p>
      <w:pPr>
        <w:pStyle w:val="4"/>
        <w:spacing w:line="360" w:lineRule="auto"/>
        <w:outlineLvl w:val="9"/>
        <w:rPr>
          <w:rFonts w:hint="eastAsia" w:ascii="宋体" w:hAnsi="宋体" w:eastAsia="宋体" w:cs="宋体"/>
        </w:rPr>
      </w:pPr>
      <w:bookmarkStart w:id="59" w:name="_Toc32056"/>
      <w:bookmarkStart w:id="60" w:name="_Toc12334"/>
      <w:bookmarkStart w:id="61" w:name="_Toc21925"/>
    </w:p>
    <w:p>
      <w:pPr>
        <w:pStyle w:val="4"/>
        <w:spacing w:line="360" w:lineRule="auto"/>
        <w:outlineLvl w:val="9"/>
        <w:rPr>
          <w:rFonts w:hint="eastAsia" w:ascii="宋体" w:hAnsi="宋体" w:eastAsia="宋体" w:cs="宋体"/>
        </w:rPr>
      </w:pPr>
    </w:p>
    <w:p>
      <w:pPr>
        <w:pStyle w:val="4"/>
        <w:spacing w:line="360" w:lineRule="auto"/>
        <w:outlineLvl w:val="9"/>
        <w:rPr>
          <w:rFonts w:hint="eastAsia" w:ascii="宋体" w:hAnsi="宋体" w:eastAsia="宋体" w:cs="宋体"/>
          <w:lang w:eastAsia="zh-CN"/>
        </w:rPr>
      </w:pPr>
    </w:p>
    <w:p>
      <w:pPr>
        <w:pStyle w:val="4"/>
        <w:spacing w:line="360" w:lineRule="auto"/>
        <w:outlineLvl w:val="9"/>
        <w:rPr>
          <w:rFonts w:hint="eastAsia" w:ascii="宋体" w:hAnsi="宋体" w:eastAsia="宋体" w:cs="宋体"/>
          <w:lang w:eastAsia="zh-CN"/>
        </w:rPr>
      </w:pPr>
    </w:p>
    <w:p>
      <w:pPr>
        <w:pStyle w:val="4"/>
        <w:spacing w:line="360" w:lineRule="auto"/>
        <w:outlineLvl w:val="9"/>
        <w:rPr>
          <w:rFonts w:hint="eastAsia" w:ascii="宋体" w:hAnsi="宋体" w:eastAsia="宋体" w:cs="宋体"/>
        </w:rPr>
      </w:pPr>
    </w:p>
    <w:p>
      <w:pPr>
        <w:pStyle w:val="4"/>
        <w:spacing w:line="360" w:lineRule="auto"/>
        <w:outlineLvl w:val="9"/>
        <w:rPr>
          <w:rFonts w:hint="eastAsia" w:ascii="宋体" w:hAnsi="宋体" w:eastAsia="宋体" w:cs="宋体"/>
        </w:rPr>
      </w:pPr>
    </w:p>
    <w:p>
      <w:pPr>
        <w:pStyle w:val="4"/>
        <w:spacing w:line="360" w:lineRule="auto"/>
        <w:outlineLvl w:val="9"/>
        <w:rPr>
          <w:rFonts w:hint="eastAsia" w:ascii="宋体" w:hAnsi="宋体" w:eastAsia="宋体" w:cs="宋体"/>
        </w:rPr>
      </w:pPr>
    </w:p>
    <w:p>
      <w:pPr>
        <w:pStyle w:val="4"/>
        <w:spacing w:line="360" w:lineRule="auto"/>
        <w:outlineLvl w:val="9"/>
        <w:rPr>
          <w:rFonts w:hint="eastAsia" w:ascii="宋体" w:hAnsi="宋体" w:eastAsia="宋体" w:cs="宋体"/>
        </w:rPr>
      </w:pPr>
    </w:p>
    <w:p>
      <w:pPr>
        <w:pStyle w:val="4"/>
        <w:spacing w:line="360" w:lineRule="auto"/>
        <w:outlineLvl w:val="9"/>
        <w:rPr>
          <w:rFonts w:hint="eastAsia" w:ascii="宋体" w:hAnsi="宋体" w:eastAsia="宋体" w:cs="宋体"/>
        </w:rPr>
      </w:pPr>
    </w:p>
    <w:p>
      <w:pPr>
        <w:pStyle w:val="4"/>
        <w:spacing w:line="360" w:lineRule="auto"/>
        <w:outlineLvl w:val="9"/>
        <w:rPr>
          <w:rFonts w:hint="eastAsia" w:ascii="宋体" w:hAnsi="宋体" w:eastAsia="宋体" w:cs="宋体"/>
        </w:rPr>
      </w:pPr>
    </w:p>
    <w:p>
      <w:pPr>
        <w:autoSpaceDE w:val="0"/>
        <w:autoSpaceDN w:val="0"/>
        <w:spacing w:line="360" w:lineRule="auto"/>
        <w:ind w:firstLine="0" w:firstLineChars="0"/>
        <w:jc w:val="both"/>
        <w:rPr>
          <w:rFonts w:hint="eastAsia" w:ascii="宋体" w:hAnsi="宋体" w:eastAsia="宋体" w:cs="宋体"/>
          <w:b/>
          <w:bCs/>
        </w:rPr>
      </w:pPr>
    </w:p>
    <w:p>
      <w:pPr>
        <w:autoSpaceDE w:val="0"/>
        <w:autoSpaceDN w:val="0"/>
        <w:spacing w:line="360" w:lineRule="auto"/>
        <w:ind w:firstLine="0" w:firstLineChars="0"/>
        <w:jc w:val="center"/>
        <w:rPr>
          <w:rFonts w:hint="eastAsia" w:ascii="宋体" w:hAnsi="宋体" w:eastAsia="宋体" w:cs="宋体"/>
        </w:rPr>
      </w:pPr>
      <w:r>
        <w:rPr>
          <w:rFonts w:hint="eastAsia" w:ascii="宋体" w:hAnsi="宋体" w:eastAsia="宋体" w:cs="宋体"/>
          <w:b/>
          <w:bCs/>
        </w:rPr>
        <w:t>图 3</w:t>
      </w:r>
      <w:r>
        <w:rPr>
          <w:rFonts w:hint="eastAsia" w:ascii="宋体" w:hAnsi="宋体" w:eastAsia="宋体" w:cs="宋体"/>
          <w:b/>
          <w:bCs/>
          <w:lang w:val="en-US" w:eastAsia="zh-CN"/>
        </w:rPr>
        <w:t>.1</w:t>
      </w:r>
      <w:r>
        <w:rPr>
          <w:rFonts w:hint="eastAsia" w:ascii="宋体" w:hAnsi="宋体" w:eastAsia="宋体" w:cs="宋体"/>
          <w:b/>
          <w:bCs/>
        </w:rPr>
        <w:t>-</w:t>
      </w:r>
      <w:r>
        <w:rPr>
          <w:rFonts w:hint="eastAsia" w:ascii="宋体" w:hAnsi="宋体" w:eastAsia="宋体" w:cs="宋体"/>
          <w:b/>
          <w:bCs/>
          <w:lang w:val="en-US" w:eastAsia="zh-CN"/>
        </w:rPr>
        <w:t>2</w:t>
      </w:r>
      <w:r>
        <w:rPr>
          <w:rFonts w:hint="eastAsia" w:ascii="宋体" w:hAnsi="宋体" w:eastAsia="宋体" w:cs="宋体"/>
          <w:b/>
          <w:bCs/>
        </w:rPr>
        <w:t xml:space="preserve"> 项目</w:t>
      </w:r>
      <w:r>
        <w:rPr>
          <w:rFonts w:hint="eastAsia" w:ascii="宋体" w:hAnsi="宋体" w:eastAsia="宋体" w:cs="宋体"/>
          <w:b/>
          <w:bCs/>
          <w:lang w:val="en-US" w:eastAsia="zh-CN"/>
        </w:rPr>
        <w:t>平面布</w:t>
      </w:r>
      <w:r>
        <w:rPr>
          <w:rFonts w:hint="eastAsia" w:ascii="宋体" w:hAnsi="宋体" w:eastAsia="宋体" w:cs="宋体"/>
          <w:b/>
          <w:bCs/>
        </w:rPr>
        <w:t>置图</w:t>
      </w:r>
    </w:p>
    <w:p>
      <w:pPr>
        <w:pStyle w:val="4"/>
        <w:spacing w:line="360" w:lineRule="auto"/>
        <w:rPr>
          <w:sz w:val="28"/>
          <w:szCs w:val="28"/>
        </w:rPr>
      </w:pPr>
      <w:bookmarkStart w:id="62" w:name="_Toc27090"/>
      <w:bookmarkStart w:id="63" w:name="_Toc22995"/>
      <w:bookmarkStart w:id="64" w:name="_Toc12911"/>
      <w:r>
        <w:rPr>
          <w:rFonts w:hint="eastAsia" w:ascii="宋体" w:hAnsi="宋体" w:eastAsia="宋体" w:cs="宋体"/>
          <w:sz w:val="28"/>
          <w:szCs w:val="28"/>
        </w:rPr>
        <w:t>3.2</w:t>
      </w:r>
      <w:r>
        <w:rPr>
          <w:rFonts w:hint="eastAsia" w:ascii="宋体" w:hAnsi="宋体" w:eastAsia="宋体" w:cs="宋体"/>
          <w:sz w:val="28"/>
          <w:szCs w:val="28"/>
          <w:lang w:eastAsia="zh-CN"/>
        </w:rPr>
        <w:t>、</w:t>
      </w:r>
      <w:r>
        <w:rPr>
          <w:rFonts w:hint="eastAsia" w:ascii="宋体" w:hAnsi="宋体" w:eastAsia="宋体" w:cs="宋体"/>
          <w:sz w:val="28"/>
          <w:szCs w:val="28"/>
        </w:rPr>
        <w:t>建设内容</w:t>
      </w:r>
      <w:bookmarkEnd w:id="59"/>
      <w:bookmarkEnd w:id="60"/>
      <w:bookmarkEnd w:id="61"/>
      <w:bookmarkEnd w:id="62"/>
      <w:bookmarkEnd w:id="63"/>
      <w:bookmarkEnd w:id="64"/>
    </w:p>
    <w:p>
      <w:pPr>
        <w:keepNext w:val="0"/>
        <w:keepLines w:val="0"/>
        <w:widowControl/>
        <w:numPr>
          <w:ilvl w:val="0"/>
          <w:numId w:val="3"/>
        </w:numPr>
        <w:suppressLineNumbers w:val="0"/>
        <w:ind w:left="0" w:leftChars="0" w:firstLine="0" w:firstLineChars="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000000"/>
          <w:kern w:val="0"/>
          <w:sz w:val="24"/>
          <w:szCs w:val="24"/>
          <w:lang w:val="en-US" w:eastAsia="zh-CN" w:bidi="ar"/>
        </w:rPr>
        <w:t xml:space="preserve">项目名称：浙江铭泽农牧发展有限公司衢江区铭泽公司肉牛养殖项目； </w:t>
      </w:r>
    </w:p>
    <w:p>
      <w:pPr>
        <w:keepNext w:val="0"/>
        <w:keepLines w:val="0"/>
        <w:widowControl/>
        <w:numPr>
          <w:ilvl w:val="0"/>
          <w:numId w:val="3"/>
        </w:numPr>
        <w:suppressLineNumbers w:val="0"/>
        <w:ind w:left="0" w:leftChars="0" w:firstLine="0" w:firstLineChars="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000000"/>
          <w:kern w:val="0"/>
          <w:sz w:val="24"/>
          <w:szCs w:val="24"/>
          <w:lang w:val="en-US" w:eastAsia="zh-CN" w:bidi="ar"/>
        </w:rPr>
        <w:t xml:space="preserve">建设单位：浙江铭泽农牧发展有限公司； </w:t>
      </w:r>
    </w:p>
    <w:p>
      <w:pPr>
        <w:keepNext w:val="0"/>
        <w:keepLines w:val="0"/>
        <w:widowControl/>
        <w:numPr>
          <w:ilvl w:val="0"/>
          <w:numId w:val="3"/>
        </w:numPr>
        <w:suppressLineNumbers w:val="0"/>
        <w:ind w:left="0" w:leftChars="0" w:firstLine="0" w:firstLineChars="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000000"/>
          <w:kern w:val="0"/>
          <w:sz w:val="24"/>
          <w:szCs w:val="24"/>
          <w:lang w:val="en-US" w:eastAsia="zh-CN" w:bidi="ar"/>
        </w:rPr>
        <w:t xml:space="preserve">建设地点：衢州市衢江区黄毛畈村黄巴垅附近的山地、林地； </w:t>
      </w:r>
    </w:p>
    <w:p>
      <w:pPr>
        <w:keepNext w:val="0"/>
        <w:keepLines w:val="0"/>
        <w:widowControl/>
        <w:numPr>
          <w:ilvl w:val="0"/>
          <w:numId w:val="3"/>
        </w:numPr>
        <w:suppressLineNumbers w:val="0"/>
        <w:ind w:left="0" w:leftChars="0" w:firstLine="0" w:firstLineChars="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000000"/>
          <w:kern w:val="0"/>
          <w:sz w:val="24"/>
          <w:szCs w:val="24"/>
          <w:lang w:val="en-US" w:eastAsia="zh-CN" w:bidi="ar"/>
        </w:rPr>
        <w:t xml:space="preserve">建设性质：新建； </w:t>
      </w:r>
    </w:p>
    <w:p>
      <w:pPr>
        <w:keepNext w:val="0"/>
        <w:keepLines w:val="0"/>
        <w:widowControl/>
        <w:numPr>
          <w:ilvl w:val="0"/>
          <w:numId w:val="3"/>
        </w:numPr>
        <w:suppressLineNumbers w:val="0"/>
        <w:ind w:left="0" w:leftChars="0" w:firstLine="0" w:firstLineChars="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000000"/>
          <w:kern w:val="0"/>
          <w:sz w:val="24"/>
          <w:szCs w:val="24"/>
          <w:lang w:val="en-US" w:eastAsia="zh-CN" w:bidi="ar"/>
        </w:rPr>
        <w:t>建设规模：项目</w:t>
      </w:r>
      <w:r>
        <w:rPr>
          <w:rFonts w:hint="default" w:asciiTheme="minorEastAsia" w:hAnsiTheme="minorEastAsia" w:eastAsiaTheme="minorEastAsia" w:cstheme="minorEastAsia"/>
          <w:color w:val="000000"/>
          <w:kern w:val="0"/>
          <w:sz w:val="24"/>
          <w:szCs w:val="24"/>
          <w:lang w:eastAsia="zh-CN" w:bidi="ar"/>
        </w:rPr>
        <w:t>全部</w:t>
      </w:r>
      <w:r>
        <w:rPr>
          <w:rFonts w:hint="eastAsia" w:asciiTheme="minorEastAsia" w:hAnsiTheme="minorEastAsia" w:eastAsiaTheme="minorEastAsia" w:cstheme="minorEastAsia"/>
          <w:color w:val="000000"/>
          <w:kern w:val="0"/>
          <w:sz w:val="24"/>
          <w:szCs w:val="24"/>
          <w:lang w:val="en-US" w:eastAsia="zh-CN" w:bidi="ar"/>
        </w:rPr>
        <w:t>建成后形成存栏育成牛 2000 头，年出栏肉牛 2000 头</w:t>
      </w:r>
      <w:r>
        <w:rPr>
          <w:rFonts w:hint="default" w:asciiTheme="minorEastAsia" w:hAnsiTheme="minorEastAsia" w:eastAsiaTheme="minorEastAsia" w:cstheme="minorEastAsia"/>
          <w:color w:val="000000"/>
          <w:kern w:val="0"/>
          <w:sz w:val="24"/>
          <w:szCs w:val="24"/>
          <w:lang w:eastAsia="zh-CN" w:bidi="ar"/>
        </w:rPr>
        <w:t>的养殖</w:t>
      </w:r>
      <w:r>
        <w:rPr>
          <w:rFonts w:hint="eastAsia" w:asciiTheme="minorEastAsia" w:hAnsiTheme="minorEastAsia" w:eastAsiaTheme="minorEastAsia" w:cstheme="minorEastAsia"/>
          <w:color w:val="000000"/>
          <w:kern w:val="0"/>
          <w:sz w:val="24"/>
          <w:szCs w:val="24"/>
          <w:lang w:val="en-US" w:eastAsia="zh-CN" w:bidi="ar"/>
        </w:rPr>
        <w:t xml:space="preserve">生产规模。 </w:t>
      </w:r>
    </w:p>
    <w:p>
      <w:pPr>
        <w:keepNext w:val="0"/>
        <w:keepLines w:val="0"/>
        <w:widowControl/>
        <w:numPr>
          <w:ilvl w:val="0"/>
          <w:numId w:val="3"/>
        </w:numPr>
        <w:suppressLineNumbers w:val="0"/>
        <w:ind w:left="0" w:leftChars="0" w:firstLine="0" w:firstLineChars="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000000"/>
          <w:kern w:val="0"/>
          <w:sz w:val="24"/>
          <w:szCs w:val="24"/>
          <w:lang w:val="en-US" w:eastAsia="zh-CN" w:bidi="ar"/>
        </w:rPr>
        <w:t xml:space="preserve">总投资：项目总投资10426万元，资金由公司自筹解决。 </w:t>
      </w:r>
    </w:p>
    <w:p>
      <w:pPr>
        <w:keepNext w:val="0"/>
        <w:keepLines w:val="0"/>
        <w:widowControl/>
        <w:numPr>
          <w:ilvl w:val="0"/>
          <w:numId w:val="3"/>
        </w:numPr>
        <w:suppressLineNumbers w:val="0"/>
        <w:ind w:left="0" w:leftChars="0" w:firstLine="0" w:firstLineChars="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000000"/>
          <w:kern w:val="0"/>
          <w:sz w:val="24"/>
          <w:szCs w:val="24"/>
          <w:lang w:val="en-US" w:eastAsia="zh-CN" w:bidi="ar"/>
        </w:rPr>
        <w:t>拟投产日期：2022年8月，</w:t>
      </w:r>
      <w:r>
        <w:rPr>
          <w:rFonts w:hint="eastAsia" w:asciiTheme="minorEastAsia" w:hAnsiTheme="minorEastAsia" w:eastAsiaTheme="minorEastAsia" w:cstheme="minorEastAsia"/>
          <w:lang w:val="en-US" w:eastAsia="zh-CN"/>
        </w:rPr>
        <w:t>由于受疫情、市场等因素影响，项目进度推迟，至2023年5月（一期）投入使用</w:t>
      </w:r>
      <w:r>
        <w:rPr>
          <w:rFonts w:hint="eastAsia" w:asciiTheme="minorEastAsia" w:hAnsiTheme="minorEastAsia" w:eastAsiaTheme="minorEastAsia" w:cstheme="minorEastAsia"/>
          <w:color w:val="000000"/>
          <w:kern w:val="0"/>
          <w:sz w:val="24"/>
          <w:szCs w:val="24"/>
          <w:lang w:val="en-US" w:eastAsia="zh-CN" w:bidi="ar"/>
        </w:rPr>
        <w:t xml:space="preserve"> 。</w:t>
      </w:r>
    </w:p>
    <w:p>
      <w:pPr>
        <w:keepNext w:val="0"/>
        <w:keepLines w:val="0"/>
        <w:widowControl/>
        <w:numPr>
          <w:ilvl w:val="0"/>
          <w:numId w:val="3"/>
        </w:numPr>
        <w:suppressLineNumbers w:val="0"/>
        <w:ind w:left="0" w:leftChars="0" w:firstLine="0" w:firstLineChars="0"/>
        <w:jc w:val="left"/>
        <w:rPr>
          <w:rFonts w:hint="eastAsia" w:ascii="宋体" w:hAnsi="宋体" w:eastAsia="宋体" w:cs="宋体"/>
        </w:rPr>
      </w:pPr>
      <w:r>
        <w:rPr>
          <w:rFonts w:hint="eastAsia" w:asciiTheme="minorEastAsia" w:hAnsiTheme="minorEastAsia" w:eastAsiaTheme="minorEastAsia" w:cstheme="minorEastAsia"/>
          <w:color w:val="000000"/>
          <w:kern w:val="0"/>
          <w:sz w:val="24"/>
          <w:szCs w:val="24"/>
          <w:lang w:val="en-US" w:eastAsia="zh-CN" w:bidi="ar"/>
        </w:rPr>
        <w:t>劳动定员及工作制度：项目劳动定员 25 人，年工作 365 天。</w:t>
      </w:r>
    </w:p>
    <w:p>
      <w:pPr>
        <w:pStyle w:val="4"/>
        <w:rPr>
          <w:rFonts w:ascii="宋体" w:hAnsi="宋体" w:eastAsia="宋体" w:cs="宋体"/>
          <w:sz w:val="28"/>
          <w:szCs w:val="28"/>
        </w:rPr>
      </w:pPr>
      <w:bookmarkStart w:id="65" w:name="_Toc23994"/>
      <w:bookmarkStart w:id="66" w:name="_Toc1039"/>
      <w:bookmarkStart w:id="67" w:name="_Toc11176"/>
      <w:r>
        <w:rPr>
          <w:rFonts w:hint="eastAsia" w:ascii="宋体" w:hAnsi="宋体" w:eastAsia="宋体" w:cs="宋体"/>
          <w:sz w:val="28"/>
          <w:szCs w:val="28"/>
        </w:rPr>
        <w:t>3.</w:t>
      </w:r>
      <w:r>
        <w:rPr>
          <w:rFonts w:hint="eastAsia" w:ascii="宋体" w:hAnsi="宋体" w:eastAsia="宋体" w:cs="宋体"/>
          <w:sz w:val="28"/>
          <w:szCs w:val="28"/>
          <w:lang w:val="en-US" w:eastAsia="zh-CN"/>
        </w:rPr>
        <w:t>3、</w:t>
      </w:r>
      <w:r>
        <w:rPr>
          <w:rFonts w:hint="eastAsia" w:ascii="宋体" w:hAnsi="宋体" w:eastAsia="宋体" w:cs="宋体"/>
          <w:sz w:val="28"/>
          <w:szCs w:val="28"/>
        </w:rPr>
        <w:t>项目实际建设</w:t>
      </w:r>
      <w:r>
        <w:rPr>
          <w:rFonts w:hint="eastAsia" w:ascii="宋体" w:hAnsi="宋体" w:eastAsia="宋体" w:cs="宋体"/>
          <w:sz w:val="28"/>
          <w:szCs w:val="28"/>
          <w:lang w:val="en-US" w:eastAsia="zh-CN"/>
        </w:rPr>
        <w:t>情况</w:t>
      </w:r>
      <w:r>
        <w:rPr>
          <w:rFonts w:hint="eastAsia" w:ascii="宋体" w:hAnsi="宋体" w:eastAsia="宋体" w:cs="宋体"/>
          <w:sz w:val="28"/>
          <w:szCs w:val="28"/>
        </w:rPr>
        <w:t>与环评设计对比</w:t>
      </w:r>
      <w:bookmarkEnd w:id="65"/>
      <w:bookmarkEnd w:id="66"/>
      <w:bookmarkEnd w:id="67"/>
    </w:p>
    <w:p>
      <w:pPr>
        <w:spacing w:line="360" w:lineRule="auto"/>
        <w:ind w:firstLine="480"/>
        <w:rPr>
          <w:rFonts w:hint="eastAsia" w:asciiTheme="minorEastAsia" w:hAnsiTheme="minorEastAsia" w:eastAsiaTheme="minorEastAsia" w:cstheme="minorEastAsia"/>
        </w:rPr>
      </w:pPr>
      <w:r>
        <w:rPr>
          <w:rFonts w:hint="eastAsia" w:asciiTheme="minorEastAsia" w:hAnsiTheme="minorEastAsia" w:eastAsiaTheme="minorEastAsia" w:cstheme="minorEastAsia"/>
        </w:rPr>
        <w:t>项目环评设计建设</w:t>
      </w:r>
      <w:r>
        <w:rPr>
          <w:rFonts w:hint="eastAsia" w:asciiTheme="minorEastAsia" w:hAnsiTheme="minorEastAsia" w:eastAsiaTheme="minorEastAsia" w:cstheme="minorEastAsia"/>
          <w:lang w:val="en-US" w:eastAsia="zh-CN"/>
        </w:rPr>
        <w:t xml:space="preserve"> 新建栏舍27栋，采用封闭式管理，建设标准化肉牛养殖场，建成后形成存栏2000头肉牛，年出栏2000头肉牛的生产规模。</w:t>
      </w:r>
      <w:r>
        <w:rPr>
          <w:rFonts w:hint="eastAsia" w:asciiTheme="minorEastAsia" w:hAnsiTheme="minorEastAsia" w:eastAsiaTheme="minorEastAsia" w:cstheme="minorEastAsia"/>
        </w:rPr>
        <w:t>根据企业提供的资料和本公司现场调查，本项目</w:t>
      </w:r>
      <w:r>
        <w:rPr>
          <w:rFonts w:hint="eastAsia" w:asciiTheme="minorEastAsia" w:hAnsiTheme="minorEastAsia" w:eastAsiaTheme="minorEastAsia" w:cstheme="minorEastAsia"/>
          <w:lang w:val="en-US" w:eastAsia="zh-CN"/>
        </w:rPr>
        <w:t>一期</w:t>
      </w:r>
      <w:r>
        <w:rPr>
          <w:rFonts w:hint="eastAsia" w:asciiTheme="minorEastAsia" w:hAnsiTheme="minorEastAsia" w:eastAsiaTheme="minorEastAsia" w:cstheme="minorEastAsia"/>
        </w:rPr>
        <w:t>实际建设完成</w:t>
      </w:r>
      <w:r>
        <w:rPr>
          <w:rFonts w:hint="eastAsia" w:asciiTheme="minorEastAsia" w:hAnsiTheme="minorEastAsia" w:eastAsiaTheme="minorEastAsia" w:cstheme="minorEastAsia"/>
          <w:lang w:val="en-US" w:eastAsia="zh-CN"/>
        </w:rPr>
        <w:t>新建栏舍10栋，养殖存栏肉牛800头</w:t>
      </w:r>
      <w:r>
        <w:rPr>
          <w:rFonts w:hint="eastAsia" w:asciiTheme="minorEastAsia" w:hAnsiTheme="minorEastAsia" w:eastAsiaTheme="minorEastAsia" w:cstheme="minorEastAsia"/>
        </w:rPr>
        <w:t>。</w:t>
      </w:r>
      <w:r>
        <w:rPr>
          <w:rFonts w:hint="eastAsia" w:asciiTheme="minorEastAsia" w:hAnsiTheme="minorEastAsia" w:eastAsiaTheme="minorEastAsia" w:cstheme="minorEastAsia"/>
          <w:lang w:val="en-US" w:eastAsia="zh-CN"/>
        </w:rPr>
        <w:t>项目一期与环评设计建设</w:t>
      </w:r>
      <w:r>
        <w:rPr>
          <w:rFonts w:hint="eastAsia" w:asciiTheme="minorEastAsia" w:hAnsiTheme="minorEastAsia" w:eastAsiaTheme="minorEastAsia" w:cstheme="minorEastAsia"/>
        </w:rPr>
        <w:t>情况见表 3</w:t>
      </w:r>
      <w:r>
        <w:rPr>
          <w:rFonts w:hint="eastAsia" w:asciiTheme="minorEastAsia" w:hAnsiTheme="minorEastAsia" w:eastAsiaTheme="minorEastAsia" w:cstheme="minorEastAsia"/>
          <w:lang w:val="en-US" w:eastAsia="zh-CN"/>
        </w:rPr>
        <w:t>.4</w:t>
      </w:r>
      <w:r>
        <w:rPr>
          <w:rFonts w:hint="eastAsia" w:asciiTheme="minorEastAsia" w:hAnsiTheme="minorEastAsia" w:eastAsiaTheme="minorEastAsia" w:cstheme="minorEastAsia"/>
        </w:rPr>
        <w:t>-1。</w:t>
      </w:r>
    </w:p>
    <w:p>
      <w:pPr>
        <w:autoSpaceDE w:val="0"/>
        <w:autoSpaceDN w:val="0"/>
        <w:adjustRightInd w:val="0"/>
        <w:spacing w:line="360" w:lineRule="auto"/>
        <w:ind w:firstLine="0" w:firstLineChars="0"/>
        <w:jc w:val="center"/>
        <w:rPr>
          <w:rFonts w:ascii="宋体" w:hAnsi="宋体" w:eastAsia="宋体" w:cs="宋体"/>
          <w:b/>
          <w:bCs/>
        </w:rPr>
      </w:pPr>
      <w:r>
        <w:rPr>
          <w:rFonts w:hint="eastAsia" w:ascii="宋体" w:hAnsi="宋体" w:eastAsia="宋体" w:cs="宋体"/>
          <w:b/>
          <w:bCs/>
        </w:rPr>
        <w:t>表 3</w:t>
      </w:r>
      <w:r>
        <w:rPr>
          <w:rFonts w:hint="eastAsia" w:ascii="宋体" w:hAnsi="宋体" w:eastAsia="宋体" w:cs="宋体"/>
          <w:b/>
          <w:bCs/>
          <w:lang w:val="en-US" w:eastAsia="zh-CN"/>
        </w:rPr>
        <w:t>.3-</w:t>
      </w:r>
      <w:r>
        <w:rPr>
          <w:rFonts w:hint="eastAsia" w:ascii="宋体" w:hAnsi="宋体" w:eastAsia="宋体" w:cs="宋体"/>
          <w:b/>
          <w:bCs/>
        </w:rPr>
        <w:t>1 项目环评设计与</w:t>
      </w:r>
      <w:r>
        <w:rPr>
          <w:rFonts w:hint="eastAsia" w:ascii="宋体" w:hAnsi="宋体" w:eastAsia="宋体" w:cs="宋体"/>
          <w:b/>
          <w:bCs/>
          <w:lang w:val="en-US" w:eastAsia="zh-CN"/>
        </w:rPr>
        <w:t>一期实际情况建设</w:t>
      </w:r>
      <w:r>
        <w:rPr>
          <w:rFonts w:hint="eastAsia" w:ascii="宋体" w:hAnsi="宋体" w:eastAsia="宋体" w:cs="宋体"/>
          <w:b/>
          <w:bCs/>
        </w:rPr>
        <w:t>对照表</w:t>
      </w:r>
    </w:p>
    <w:tbl>
      <w:tblPr>
        <w:tblStyle w:val="2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1085"/>
        <w:gridCol w:w="2865"/>
        <w:gridCol w:w="2207"/>
        <w:gridCol w:w="16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Align w:val="center"/>
          </w:tcPr>
          <w:p>
            <w:pPr>
              <w:autoSpaceDE w:val="0"/>
              <w:autoSpaceDN w:val="0"/>
              <w:adjustRightInd w:val="0"/>
              <w:spacing w:line="240" w:lineRule="auto"/>
              <w:ind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工程类别</w:t>
            </w:r>
          </w:p>
        </w:tc>
        <w:tc>
          <w:tcPr>
            <w:tcW w:w="1085" w:type="dxa"/>
            <w:vAlign w:val="center"/>
          </w:tcPr>
          <w:p>
            <w:pPr>
              <w:autoSpaceDE w:val="0"/>
              <w:autoSpaceDN w:val="0"/>
              <w:adjustRightInd w:val="0"/>
              <w:spacing w:line="240" w:lineRule="auto"/>
              <w:ind w:firstLine="0" w:firstLineChars="0"/>
              <w:jc w:val="center"/>
              <w:rPr>
                <w:rFonts w:hint="eastAsia" w:ascii="宋体" w:hAnsi="宋体" w:eastAsia="宋体" w:cs="宋体"/>
                <w:b/>
                <w:bCs/>
                <w:lang w:val="en-US" w:eastAsia="zh-CN"/>
              </w:rPr>
            </w:pPr>
            <w:r>
              <w:rPr>
                <w:rFonts w:hint="eastAsia" w:ascii="宋体" w:hAnsi="宋体" w:eastAsia="宋体" w:cs="宋体"/>
                <w:b/>
                <w:bCs/>
                <w:lang w:val="en-US" w:eastAsia="zh-CN"/>
              </w:rPr>
              <w:t>工程</w:t>
            </w:r>
          </w:p>
          <w:p>
            <w:pPr>
              <w:autoSpaceDE w:val="0"/>
              <w:autoSpaceDN w:val="0"/>
              <w:adjustRightInd w:val="0"/>
              <w:spacing w:line="240" w:lineRule="auto"/>
              <w:ind w:firstLine="0" w:firstLineChars="0"/>
              <w:jc w:val="center"/>
              <w:rPr>
                <w:rFonts w:hint="default" w:ascii="宋体" w:hAnsi="宋体" w:eastAsia="宋体" w:cs="宋体"/>
                <w:b/>
                <w:bCs/>
                <w:lang w:val="en-US" w:eastAsia="zh-CN"/>
              </w:rPr>
            </w:pPr>
            <w:r>
              <w:rPr>
                <w:rFonts w:hint="eastAsia" w:ascii="宋体" w:hAnsi="宋体" w:eastAsia="宋体" w:cs="宋体"/>
                <w:b/>
                <w:bCs/>
                <w:lang w:val="en-US" w:eastAsia="zh-CN"/>
              </w:rPr>
              <w:t>名称</w:t>
            </w:r>
          </w:p>
        </w:tc>
        <w:tc>
          <w:tcPr>
            <w:tcW w:w="2865" w:type="dxa"/>
            <w:vAlign w:val="center"/>
          </w:tcPr>
          <w:p>
            <w:pPr>
              <w:autoSpaceDE w:val="0"/>
              <w:autoSpaceDN w:val="0"/>
              <w:adjustRightInd w:val="0"/>
              <w:spacing w:line="240" w:lineRule="auto"/>
              <w:ind w:firstLine="0" w:firstLineChars="0"/>
              <w:jc w:val="center"/>
              <w:rPr>
                <w:rFonts w:hint="eastAsia" w:ascii="宋体" w:hAnsi="宋体" w:eastAsia="宋体" w:cs="宋体"/>
                <w:b/>
                <w:bCs/>
              </w:rPr>
            </w:pPr>
            <w:r>
              <w:rPr>
                <w:rFonts w:hint="eastAsia" w:ascii="宋体" w:hAnsi="宋体" w:eastAsia="宋体" w:cs="宋体"/>
                <w:b/>
                <w:bCs/>
              </w:rPr>
              <w:t>环评设计</w:t>
            </w:r>
          </w:p>
        </w:tc>
        <w:tc>
          <w:tcPr>
            <w:tcW w:w="2207" w:type="dxa"/>
            <w:vAlign w:val="center"/>
          </w:tcPr>
          <w:p>
            <w:pPr>
              <w:autoSpaceDE w:val="0"/>
              <w:autoSpaceDN w:val="0"/>
              <w:adjustRightInd w:val="0"/>
              <w:spacing w:line="240" w:lineRule="auto"/>
              <w:ind w:firstLine="0" w:firstLineChars="0"/>
              <w:jc w:val="center"/>
              <w:rPr>
                <w:rFonts w:ascii="宋体" w:hAnsi="宋体" w:eastAsia="宋体" w:cs="宋体"/>
                <w:b/>
                <w:bCs/>
              </w:rPr>
            </w:pPr>
            <w:r>
              <w:rPr>
                <w:rFonts w:hint="eastAsia" w:ascii="宋体" w:hAnsi="宋体" w:eastAsia="宋体" w:cs="宋体"/>
                <w:b/>
                <w:bCs/>
                <w:lang w:val="en-US" w:eastAsia="zh-CN"/>
              </w:rPr>
              <w:t>一期</w:t>
            </w:r>
            <w:r>
              <w:rPr>
                <w:rFonts w:hint="eastAsia" w:ascii="宋体" w:hAnsi="宋体" w:eastAsia="宋体" w:cs="宋体"/>
                <w:b/>
                <w:bCs/>
              </w:rPr>
              <w:t>建设情况</w:t>
            </w:r>
          </w:p>
        </w:tc>
        <w:tc>
          <w:tcPr>
            <w:tcW w:w="1611" w:type="dxa"/>
            <w:vAlign w:val="center"/>
          </w:tcPr>
          <w:p>
            <w:pPr>
              <w:autoSpaceDE w:val="0"/>
              <w:autoSpaceDN w:val="0"/>
              <w:adjustRightInd w:val="0"/>
              <w:spacing w:line="240" w:lineRule="auto"/>
              <w:ind w:firstLine="241" w:firstLineChars="100"/>
              <w:jc w:val="both"/>
              <w:rPr>
                <w:rFonts w:hint="default" w:ascii="宋体" w:hAnsi="宋体" w:eastAsia="宋体" w:cs="宋体"/>
                <w:b/>
                <w:bCs/>
                <w:lang w:val="en-US" w:eastAsia="zh-CN"/>
              </w:rPr>
            </w:pPr>
            <w:r>
              <w:rPr>
                <w:rFonts w:hint="eastAsia" w:ascii="宋体" w:hAnsi="宋体" w:eastAsia="宋体" w:cs="宋体"/>
                <w:b/>
                <w:bCs/>
                <w:lang w:val="en-US" w:eastAsia="zh-CN"/>
              </w:rPr>
              <w:t>情况说明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Align w:val="center"/>
          </w:tcPr>
          <w:p>
            <w:pPr>
              <w:pStyle w:val="7"/>
              <w:ind w:left="0" w:leftChars="0" w:firstLine="0" w:firstLineChars="0"/>
              <w:jc w:val="center"/>
              <w:rPr>
                <w:rFonts w:hint="eastAsia" w:ascii="宋体" w:hAnsi="宋体" w:eastAsia="宋体" w:cs="宋体"/>
                <w:b/>
                <w:bCs/>
                <w:vertAlign w:val="baseline"/>
                <w:lang w:val="en-US" w:eastAsia="zh-CN"/>
              </w:rPr>
            </w:pPr>
            <w:r>
              <w:rPr>
                <w:rFonts w:hint="eastAsia" w:ascii="宋体" w:hAnsi="宋体" w:eastAsia="宋体" w:cs="宋体"/>
                <w:b/>
                <w:bCs/>
                <w:vertAlign w:val="baseline"/>
                <w:lang w:val="en-US" w:eastAsia="zh-CN"/>
              </w:rPr>
              <w:t>主体</w:t>
            </w:r>
          </w:p>
          <w:p>
            <w:pPr>
              <w:autoSpaceDE w:val="0"/>
              <w:autoSpaceDN w:val="0"/>
              <w:adjustRightInd w:val="0"/>
              <w:spacing w:line="240" w:lineRule="auto"/>
              <w:ind w:firstLine="0" w:firstLineChars="0"/>
              <w:jc w:val="center"/>
              <w:rPr>
                <w:rFonts w:ascii="宋体" w:hAnsi="宋体" w:eastAsia="宋体" w:cs="宋体"/>
                <w:b/>
              </w:rPr>
            </w:pPr>
            <w:r>
              <w:rPr>
                <w:rFonts w:hint="eastAsia" w:ascii="宋体" w:hAnsi="宋体" w:eastAsia="宋体" w:cs="宋体"/>
                <w:b/>
                <w:bCs/>
                <w:vertAlign w:val="baseline"/>
                <w:lang w:val="en-US" w:eastAsia="zh-CN"/>
              </w:rPr>
              <w:t>工程</w:t>
            </w:r>
          </w:p>
        </w:tc>
        <w:tc>
          <w:tcPr>
            <w:tcW w:w="1085" w:type="dxa"/>
            <w:vAlign w:val="center"/>
          </w:tcPr>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val="0"/>
                <w:bCs w:val="0"/>
                <w:sz w:val="21"/>
                <w:szCs w:val="21"/>
                <w:vertAlign w:val="baseline"/>
                <w:lang w:val="en-US" w:eastAsia="zh-CN"/>
              </w:rPr>
              <w:t>栏舍</w:t>
            </w:r>
          </w:p>
        </w:tc>
        <w:tc>
          <w:tcPr>
            <w:tcW w:w="286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单栋建筑面积675m2，27 栋，合计 17552m2</w:t>
            </w:r>
          </w:p>
        </w:tc>
        <w:tc>
          <w:tcPr>
            <w:tcW w:w="2207" w:type="dxa"/>
            <w:vAlign w:val="center"/>
          </w:tcPr>
          <w:p>
            <w:pPr>
              <w:autoSpaceDE w:val="0"/>
              <w:autoSpaceDN w:val="0"/>
              <w:adjustRightInd w:val="0"/>
              <w:spacing w:line="240" w:lineRule="auto"/>
              <w:ind w:firstLine="0" w:firstLineChars="0"/>
              <w:rPr>
                <w:rFonts w:hint="eastAsia" w:ascii="宋体" w:hAnsi="宋体" w:eastAsia="宋体" w:cs="宋体"/>
                <w:lang w:eastAsia="zh-CN"/>
              </w:rPr>
            </w:pPr>
            <w:r>
              <w:rPr>
                <w:rFonts w:hint="eastAsia" w:ascii="宋体" w:hAnsi="宋体" w:eastAsia="宋体" w:cs="宋体"/>
                <w:sz w:val="21"/>
                <w:szCs w:val="21"/>
                <w:lang w:val="en-US" w:eastAsia="zh-CN"/>
              </w:rPr>
              <w:t>一期</w:t>
            </w:r>
            <w:r>
              <w:rPr>
                <w:rFonts w:hint="eastAsia" w:ascii="宋体" w:hAnsi="宋体" w:eastAsia="宋体" w:cs="宋体"/>
                <w:sz w:val="21"/>
                <w:szCs w:val="21"/>
                <w:lang w:eastAsia="zh-CN"/>
              </w:rPr>
              <w:t>已建成</w:t>
            </w:r>
            <w:r>
              <w:rPr>
                <w:rFonts w:hint="eastAsia" w:asciiTheme="minorEastAsia" w:hAnsiTheme="minorEastAsia" w:eastAsiaTheme="minorEastAsia" w:cstheme="minorEastAsia"/>
                <w:color w:val="000000"/>
                <w:kern w:val="0"/>
                <w:sz w:val="21"/>
                <w:szCs w:val="21"/>
                <w:lang w:val="en-US" w:eastAsia="zh-CN" w:bidi="ar"/>
              </w:rPr>
              <w:t>单栋建筑面积675m2，</w:t>
            </w:r>
            <w:r>
              <w:rPr>
                <w:rFonts w:hint="eastAsia" w:ascii="宋体" w:hAnsi="宋体" w:eastAsia="宋体" w:cs="宋体"/>
                <w:sz w:val="21"/>
                <w:szCs w:val="21"/>
                <w:lang w:eastAsia="zh-CN"/>
              </w:rPr>
              <w:t>10栋，合计6750m</w:t>
            </w:r>
            <w:r>
              <w:rPr>
                <w:rFonts w:hint="eastAsia" w:ascii="宋体" w:hAnsi="宋体" w:eastAsia="宋体" w:cs="宋体"/>
                <w:sz w:val="21"/>
                <w:szCs w:val="21"/>
                <w:vertAlign w:val="superscript"/>
                <w:lang w:eastAsia="zh-CN"/>
              </w:rPr>
              <w:t>2</w:t>
            </w:r>
          </w:p>
        </w:tc>
        <w:tc>
          <w:tcPr>
            <w:tcW w:w="1611" w:type="dxa"/>
            <w:vAlign w:val="center"/>
          </w:tcPr>
          <w:p>
            <w:pPr>
              <w:autoSpaceDE w:val="0"/>
              <w:autoSpaceDN w:val="0"/>
              <w:adjustRightInd w:val="0"/>
              <w:spacing w:line="240" w:lineRule="auto"/>
              <w:ind w:firstLine="0" w:firstLineChars="0"/>
              <w:jc w:val="center"/>
              <w:rPr>
                <w:rFonts w:hint="default" w:ascii="宋体" w:hAnsi="宋体" w:eastAsia="宋体" w:cs="宋体"/>
                <w:lang w:val="en-US" w:eastAsia="zh-CN"/>
              </w:rPr>
            </w:pPr>
            <w:r>
              <w:rPr>
                <w:rFonts w:hint="eastAsia" w:ascii="宋体" w:hAnsi="宋体" w:eastAsia="宋体" w:cs="宋体"/>
                <w:lang w:val="en-US" w:eastAsia="zh-CN"/>
              </w:rPr>
              <w:t>分期建设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restart"/>
            <w:vAlign w:val="center"/>
          </w:tcPr>
          <w:p>
            <w:pPr>
              <w:autoSpaceDE w:val="0"/>
              <w:autoSpaceDN w:val="0"/>
              <w:adjustRightInd w:val="0"/>
              <w:spacing w:line="240" w:lineRule="auto"/>
              <w:ind w:firstLine="0" w:firstLineChars="0"/>
              <w:jc w:val="center"/>
              <w:rPr>
                <w:rFonts w:hint="eastAsia" w:ascii="宋体" w:hAnsi="宋体" w:eastAsia="宋体" w:cs="宋体"/>
                <w:b/>
              </w:rPr>
            </w:pPr>
          </w:p>
          <w:p>
            <w:pPr>
              <w:autoSpaceDE w:val="0"/>
              <w:autoSpaceDN w:val="0"/>
              <w:adjustRightInd w:val="0"/>
              <w:spacing w:line="240" w:lineRule="auto"/>
              <w:ind w:firstLine="0" w:firstLineChars="0"/>
              <w:jc w:val="center"/>
              <w:rPr>
                <w:rFonts w:ascii="宋体" w:hAnsi="宋体" w:eastAsia="宋体" w:cs="宋体"/>
                <w:b/>
              </w:rPr>
            </w:pPr>
            <w:r>
              <w:rPr>
                <w:rFonts w:hint="eastAsia" w:ascii="宋体" w:hAnsi="宋体" w:eastAsia="宋体" w:cs="宋体"/>
                <w:b/>
                <w:lang w:val="en-US" w:eastAsia="zh-CN"/>
              </w:rPr>
              <w:t>辅助</w:t>
            </w:r>
            <w:r>
              <w:rPr>
                <w:rFonts w:hint="eastAsia" w:ascii="宋体" w:hAnsi="宋体" w:eastAsia="宋体" w:cs="宋体"/>
                <w:b/>
              </w:rPr>
              <w:t>工程</w:t>
            </w:r>
          </w:p>
          <w:p>
            <w:pPr>
              <w:autoSpaceDE w:val="0"/>
              <w:autoSpaceDN w:val="0"/>
              <w:adjustRightInd w:val="0"/>
              <w:spacing w:line="240" w:lineRule="auto"/>
              <w:ind w:firstLine="0" w:firstLineChars="0"/>
              <w:jc w:val="center"/>
              <w:rPr>
                <w:rFonts w:ascii="宋体" w:hAnsi="宋体" w:eastAsia="宋体" w:cs="宋体"/>
                <w:b/>
              </w:rPr>
            </w:pPr>
          </w:p>
        </w:tc>
        <w:tc>
          <w:tcPr>
            <w:tcW w:w="1085" w:type="dxa"/>
            <w:vAlign w:val="center"/>
          </w:tcPr>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好氧发酵罐</w:t>
            </w:r>
          </w:p>
        </w:tc>
        <w:tc>
          <w:tcPr>
            <w:tcW w:w="286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2 个(每个 100 立方)，位于厂区东侧污水处理附近</w:t>
            </w:r>
          </w:p>
        </w:tc>
        <w:tc>
          <w:tcPr>
            <w:tcW w:w="2207" w:type="dxa"/>
            <w:vAlign w:val="center"/>
          </w:tcPr>
          <w:p>
            <w:pPr>
              <w:autoSpaceDE w:val="0"/>
              <w:autoSpaceDN w:val="0"/>
              <w:adjustRightInd w:val="0"/>
              <w:spacing w:line="240" w:lineRule="auto"/>
              <w:ind w:firstLine="0" w:firstLineChars="0"/>
              <w:jc w:val="left"/>
              <w:rPr>
                <w:rFonts w:hint="default" w:ascii="宋体" w:hAnsi="宋体" w:eastAsia="宋体" w:cs="宋体"/>
                <w:lang w:val="en-US" w:eastAsia="zh-CN"/>
              </w:rPr>
            </w:pPr>
            <w:r>
              <w:rPr>
                <w:rFonts w:hint="eastAsia" w:ascii="宋体" w:hAnsi="宋体" w:eastAsia="宋体" w:cs="宋体"/>
                <w:lang w:val="en-US" w:eastAsia="zh-CN"/>
              </w:rPr>
              <w:t>项目变更，未建设。</w:t>
            </w:r>
          </w:p>
        </w:tc>
        <w:tc>
          <w:tcPr>
            <w:tcW w:w="1611" w:type="dxa"/>
            <w:vAlign w:val="center"/>
          </w:tcPr>
          <w:p>
            <w:pPr>
              <w:tabs>
                <w:tab w:val="left" w:pos="5601"/>
              </w:tabs>
              <w:bidi w:val="0"/>
              <w:spacing w:line="240" w:lineRule="auto"/>
              <w:ind w:left="0" w:leftChars="0" w:firstLine="0" w:firstLineChars="0"/>
              <w:jc w:val="left"/>
              <w:rPr>
                <w:rFonts w:hint="default" w:ascii="宋体" w:hAnsi="宋体" w:eastAsia="宋体" w:cs="宋体"/>
                <w:lang w:val="en-US" w:eastAsia="zh-CN"/>
              </w:rPr>
            </w:pPr>
            <w:r>
              <w:rPr>
                <w:rFonts w:hint="eastAsia" w:ascii="宋体" w:hAnsi="宋体" w:eastAsia="宋体" w:cs="宋体"/>
                <w:b w:val="0"/>
                <w:bCs w:val="0"/>
                <w:sz w:val="21"/>
                <w:szCs w:val="21"/>
                <w:lang w:val="en-US" w:eastAsia="zh-CN"/>
              </w:rPr>
              <w:t>由于不再进行有机肥基料的生产故不再设置</w:t>
            </w:r>
            <w:r>
              <w:rPr>
                <w:rFonts w:hint="eastAsia" w:asciiTheme="minorEastAsia" w:hAnsiTheme="minorEastAsia" w:eastAsiaTheme="minorEastAsia" w:cstheme="minorEastAsia"/>
                <w:color w:val="000000"/>
                <w:kern w:val="0"/>
                <w:sz w:val="21"/>
                <w:szCs w:val="21"/>
                <w:lang w:val="en-US" w:eastAsia="zh-CN" w:bidi="ar"/>
              </w:rPr>
              <w:t>好氧发酵罐。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ascii="宋体" w:hAnsi="宋体" w:eastAsia="宋体" w:cs="宋体"/>
                <w:b/>
              </w:rPr>
            </w:pPr>
          </w:p>
        </w:tc>
        <w:tc>
          <w:tcPr>
            <w:tcW w:w="1085" w:type="dxa"/>
            <w:vAlign w:val="center"/>
          </w:tcPr>
          <w:p>
            <w:pPr>
              <w:tabs>
                <w:tab w:val="left" w:pos="737"/>
              </w:tabs>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兽医室、消毒间</w:t>
            </w:r>
          </w:p>
        </w:tc>
        <w:tc>
          <w:tcPr>
            <w:tcW w:w="2865" w:type="dxa"/>
            <w:vAlign w:val="center"/>
          </w:tcPr>
          <w:p>
            <w:pPr>
              <w:keepNext w:val="0"/>
              <w:keepLines w:val="0"/>
              <w:widowControl/>
              <w:suppressLineNumbers w:val="0"/>
              <w:spacing w:line="240" w:lineRule="auto"/>
              <w:ind w:left="0" w:leftChars="0" w:firstLine="0" w:firstLine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1 幢，建筑面积 556m2，该室的用途是存放药物并为场内兽医提供工作的场所</w:t>
            </w:r>
          </w:p>
        </w:tc>
        <w:tc>
          <w:tcPr>
            <w:tcW w:w="2207" w:type="dxa"/>
            <w:vAlign w:val="center"/>
          </w:tcPr>
          <w:p>
            <w:pPr>
              <w:pStyle w:val="31"/>
              <w:spacing w:line="240" w:lineRule="auto"/>
              <w:ind w:firstLine="0" w:firstLineChars="0"/>
              <w:rPr>
                <w:rFonts w:hint="default" w:eastAsia="仿宋"/>
                <w:lang w:val="en-US" w:eastAsia="zh-CN"/>
              </w:rPr>
            </w:pPr>
            <w:r>
              <w:rPr>
                <w:rFonts w:hint="eastAsia" w:asciiTheme="minorEastAsia" w:hAnsiTheme="minorEastAsia" w:eastAsiaTheme="minorEastAsia" w:cstheme="minorEastAsia"/>
                <w:sz w:val="21"/>
                <w:szCs w:val="21"/>
                <w:lang w:val="en-US" w:eastAsia="zh-CN"/>
              </w:rPr>
              <w:t>企业建有18</w:t>
            </w:r>
            <w:r>
              <w:rPr>
                <w:rFonts w:hint="eastAsia" w:asciiTheme="minorEastAsia" w:hAnsiTheme="minorEastAsia" w:eastAsiaTheme="minorEastAsia" w:cstheme="minorEastAsia"/>
                <w:color w:val="000000"/>
                <w:kern w:val="0"/>
                <w:sz w:val="21"/>
                <w:szCs w:val="21"/>
                <w:lang w:val="en-US" w:eastAsia="zh-CN" w:bidi="ar"/>
              </w:rPr>
              <w:t>m</w:t>
            </w:r>
            <w:r>
              <w:rPr>
                <w:rFonts w:hint="eastAsia" w:asciiTheme="minorEastAsia" w:hAnsiTheme="minorEastAsia" w:eastAsiaTheme="minorEastAsia" w:cstheme="minorEastAsia"/>
                <w:color w:val="000000"/>
                <w:kern w:val="0"/>
                <w:sz w:val="21"/>
                <w:szCs w:val="21"/>
                <w:vertAlign w:val="superscript"/>
                <w:lang w:val="en-US" w:eastAsia="zh-CN" w:bidi="ar"/>
              </w:rPr>
              <w:t>2</w:t>
            </w:r>
            <w:r>
              <w:rPr>
                <w:rFonts w:hint="eastAsia" w:asciiTheme="minorEastAsia" w:hAnsiTheme="minorEastAsia" w:eastAsiaTheme="minorEastAsia" w:cstheme="minorEastAsia"/>
                <w:color w:val="000000"/>
                <w:kern w:val="0"/>
                <w:sz w:val="21"/>
                <w:szCs w:val="21"/>
                <w:vertAlign w:val="baseline"/>
                <w:lang w:val="en-US" w:eastAsia="zh-CN" w:bidi="ar"/>
              </w:rPr>
              <w:t>的</w:t>
            </w:r>
            <w:r>
              <w:rPr>
                <w:rFonts w:hint="eastAsia" w:asciiTheme="minorEastAsia" w:hAnsiTheme="minorEastAsia" w:eastAsiaTheme="minorEastAsia" w:cstheme="minorEastAsia"/>
                <w:color w:val="000000"/>
                <w:kern w:val="0"/>
                <w:sz w:val="21"/>
                <w:szCs w:val="21"/>
                <w:lang w:val="en-US" w:eastAsia="zh-CN" w:bidi="ar"/>
              </w:rPr>
              <w:t>兽医室和7m</w:t>
            </w:r>
            <w:r>
              <w:rPr>
                <w:rFonts w:hint="eastAsia" w:asciiTheme="minorEastAsia" w:hAnsiTheme="minorEastAsia" w:eastAsiaTheme="minorEastAsia" w:cstheme="minorEastAsia"/>
                <w:color w:val="000000"/>
                <w:kern w:val="0"/>
                <w:sz w:val="21"/>
                <w:szCs w:val="21"/>
                <w:vertAlign w:val="superscript"/>
                <w:lang w:val="en-US" w:eastAsia="zh-CN" w:bidi="ar"/>
              </w:rPr>
              <w:t>2</w:t>
            </w:r>
            <w:r>
              <w:rPr>
                <w:rFonts w:hint="eastAsia" w:asciiTheme="minorEastAsia" w:hAnsiTheme="minorEastAsia" w:eastAsiaTheme="minorEastAsia" w:cstheme="minorEastAsia"/>
                <w:color w:val="000000"/>
                <w:kern w:val="0"/>
                <w:sz w:val="21"/>
                <w:szCs w:val="21"/>
                <w:lang w:val="en-US" w:eastAsia="zh-CN" w:bidi="ar"/>
              </w:rPr>
              <w:t>的消毒间。</w:t>
            </w:r>
          </w:p>
        </w:tc>
        <w:tc>
          <w:tcPr>
            <w:tcW w:w="1611" w:type="dxa"/>
            <w:vAlign w:val="center"/>
          </w:tcPr>
          <w:p>
            <w:pPr>
              <w:pStyle w:val="31"/>
              <w:spacing w:line="240" w:lineRule="auto"/>
              <w:ind w:firstLine="0" w:firstLineChars="0"/>
              <w:jc w:val="center"/>
              <w:rPr>
                <w:rFonts w:hint="eastAsia" w:hAnsi="宋体" w:eastAsia="宋体"/>
                <w:lang w:val="en-US" w:eastAsia="zh-CN"/>
              </w:rPr>
            </w:pPr>
            <w:r>
              <w:rPr>
                <w:rFonts w:hint="eastAsia" w:hAnsi="宋体" w:eastAsia="宋体"/>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ascii="宋体" w:hAnsi="宋体" w:eastAsia="宋体" w:cs="宋体"/>
                <w:b/>
              </w:rPr>
            </w:pPr>
          </w:p>
        </w:tc>
        <w:tc>
          <w:tcPr>
            <w:tcW w:w="1085" w:type="dxa"/>
            <w:vAlign w:val="center"/>
          </w:tcPr>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工具用房</w:t>
            </w:r>
          </w:p>
        </w:tc>
        <w:tc>
          <w:tcPr>
            <w:tcW w:w="2865" w:type="dxa"/>
            <w:vAlign w:val="center"/>
          </w:tcPr>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1 幢，建筑面积 556m</w:t>
            </w:r>
            <w:r>
              <w:rPr>
                <w:rFonts w:hint="eastAsia" w:asciiTheme="minorEastAsia" w:hAnsiTheme="minorEastAsia" w:eastAsiaTheme="minorEastAsia" w:cstheme="minorEastAsia"/>
                <w:color w:val="000000"/>
                <w:kern w:val="0"/>
                <w:sz w:val="21"/>
                <w:szCs w:val="21"/>
                <w:vertAlign w:val="superscript"/>
                <w:lang w:val="en-US" w:eastAsia="zh-CN" w:bidi="ar"/>
              </w:rPr>
              <w:t>2</w:t>
            </w:r>
          </w:p>
        </w:tc>
        <w:tc>
          <w:tcPr>
            <w:tcW w:w="2207" w:type="dxa"/>
            <w:vAlign w:val="center"/>
          </w:tcPr>
          <w:p>
            <w:pPr>
              <w:autoSpaceDE w:val="0"/>
              <w:autoSpaceDN w:val="0"/>
              <w:adjustRightInd w:val="0"/>
              <w:spacing w:line="240" w:lineRule="auto"/>
              <w:ind w:firstLine="0" w:firstLineChars="0"/>
              <w:rPr>
                <w:rFonts w:hint="default" w:ascii="宋体" w:hAnsi="宋体" w:eastAsia="宋体" w:cs="宋体"/>
                <w:lang w:val="en-US" w:eastAsia="zh-CN"/>
              </w:rPr>
            </w:pPr>
            <w:r>
              <w:rPr>
                <w:rFonts w:hint="eastAsia" w:ascii="宋体" w:hAnsi="宋体" w:eastAsia="宋体" w:cs="宋体"/>
                <w:lang w:val="en-US" w:eastAsia="zh-CN"/>
              </w:rPr>
              <w:t>企业已建</w:t>
            </w:r>
            <w:r>
              <w:rPr>
                <w:rFonts w:hint="eastAsia" w:asciiTheme="minorEastAsia" w:hAnsiTheme="minorEastAsia" w:eastAsiaTheme="minorEastAsia" w:cstheme="minorEastAsia"/>
                <w:color w:val="000000"/>
                <w:kern w:val="0"/>
                <w:sz w:val="21"/>
                <w:szCs w:val="21"/>
                <w:lang w:val="en-US" w:eastAsia="zh-CN" w:bidi="ar"/>
              </w:rPr>
              <w:t xml:space="preserve"> 556m</w:t>
            </w:r>
            <w:r>
              <w:rPr>
                <w:rFonts w:hint="eastAsia" w:asciiTheme="minorEastAsia" w:hAnsiTheme="minorEastAsia" w:eastAsiaTheme="minorEastAsia" w:cstheme="minorEastAsia"/>
                <w:color w:val="000000"/>
                <w:kern w:val="0"/>
                <w:sz w:val="21"/>
                <w:szCs w:val="21"/>
                <w:vertAlign w:val="superscript"/>
                <w:lang w:val="en-US" w:eastAsia="zh-CN" w:bidi="ar"/>
              </w:rPr>
              <w:t>2</w:t>
            </w:r>
            <w:r>
              <w:rPr>
                <w:rFonts w:hint="eastAsia" w:ascii="宋体" w:hAnsi="宋体" w:eastAsia="宋体" w:cs="宋体"/>
                <w:lang w:val="en-US" w:eastAsia="zh-CN"/>
              </w:rPr>
              <w:t>工具用房</w:t>
            </w:r>
          </w:p>
        </w:tc>
        <w:tc>
          <w:tcPr>
            <w:tcW w:w="1611" w:type="dxa"/>
            <w:vAlign w:val="center"/>
          </w:tcPr>
          <w:p>
            <w:pPr>
              <w:autoSpaceDE w:val="0"/>
              <w:autoSpaceDN w:val="0"/>
              <w:adjustRightInd w:val="0"/>
              <w:spacing w:line="240" w:lineRule="auto"/>
              <w:ind w:firstLine="0" w:firstLineChars="0"/>
              <w:jc w:val="center"/>
              <w:rPr>
                <w:rFonts w:hint="eastAsia" w:ascii="宋体" w:hAnsi="宋体" w:eastAsia="宋体" w:cs="宋体"/>
                <w:lang w:val="en-US" w:eastAsia="zh-CN"/>
              </w:rPr>
            </w:pPr>
            <w:r>
              <w:rPr>
                <w:rFonts w:hint="eastAsia" w:ascii="宋体" w:hAnsi="宋体" w:eastAsia="宋体" w:cs="宋体"/>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隔离栏舍</w:t>
            </w:r>
          </w:p>
        </w:tc>
        <w:tc>
          <w:tcPr>
            <w:tcW w:w="286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建筑面积675m</w:t>
            </w:r>
            <w:r>
              <w:rPr>
                <w:rFonts w:hint="eastAsia" w:asciiTheme="minorEastAsia" w:hAnsiTheme="minorEastAsia" w:eastAsiaTheme="minorEastAsia" w:cstheme="minorEastAsia"/>
                <w:color w:val="000000"/>
                <w:kern w:val="0"/>
                <w:sz w:val="21"/>
                <w:szCs w:val="21"/>
                <w:vertAlign w:val="superscript"/>
                <w:lang w:val="en-US" w:eastAsia="zh-CN" w:bidi="ar"/>
              </w:rPr>
              <w:t>2</w:t>
            </w:r>
            <w:r>
              <w:rPr>
                <w:rFonts w:hint="eastAsia" w:asciiTheme="minorEastAsia" w:hAnsiTheme="minorEastAsia" w:eastAsiaTheme="minorEastAsia" w:cstheme="minorEastAsia"/>
                <w:color w:val="000000"/>
                <w:kern w:val="0"/>
                <w:sz w:val="21"/>
                <w:szCs w:val="21"/>
                <w:lang w:val="en-US" w:eastAsia="zh-CN" w:bidi="ar"/>
              </w:rPr>
              <w:t>，用于隔离检疫确诊的带有传染病的牛</w:t>
            </w:r>
          </w:p>
        </w:tc>
        <w:tc>
          <w:tcPr>
            <w:tcW w:w="2207" w:type="dxa"/>
            <w:vAlign w:val="center"/>
          </w:tcPr>
          <w:p>
            <w:pPr>
              <w:autoSpaceDE w:val="0"/>
              <w:autoSpaceDN w:val="0"/>
              <w:adjustRightInd w:val="0"/>
              <w:spacing w:line="240" w:lineRule="auto"/>
              <w:ind w:firstLine="0" w:firstLineChars="0"/>
              <w:rPr>
                <w:rFonts w:hint="default" w:ascii="宋体" w:hAnsi="宋体" w:eastAsia="宋体" w:cs="宋体"/>
                <w:lang w:val="en-US" w:eastAsia="zh-CN"/>
              </w:rPr>
            </w:pPr>
            <w:r>
              <w:rPr>
                <w:rFonts w:hint="eastAsia" w:ascii="宋体" w:hAnsi="宋体" w:eastAsia="宋体" w:cs="宋体"/>
                <w:lang w:val="en-US" w:eastAsia="zh-CN"/>
              </w:rPr>
              <w:t>企业已建</w:t>
            </w:r>
            <w:r>
              <w:rPr>
                <w:rFonts w:hint="eastAsia" w:asciiTheme="minorEastAsia" w:hAnsiTheme="minorEastAsia" w:eastAsiaTheme="minorEastAsia" w:cstheme="minorEastAsia"/>
                <w:color w:val="000000"/>
                <w:kern w:val="0"/>
                <w:sz w:val="21"/>
                <w:szCs w:val="21"/>
                <w:lang w:val="en-US" w:eastAsia="zh-CN" w:bidi="ar"/>
              </w:rPr>
              <w:t>500m</w:t>
            </w:r>
            <w:r>
              <w:rPr>
                <w:rFonts w:hint="eastAsia" w:asciiTheme="minorEastAsia" w:hAnsiTheme="minorEastAsia" w:eastAsiaTheme="minorEastAsia" w:cstheme="minorEastAsia"/>
                <w:color w:val="000000"/>
                <w:kern w:val="0"/>
                <w:sz w:val="21"/>
                <w:szCs w:val="21"/>
                <w:vertAlign w:val="superscript"/>
                <w:lang w:val="en-US" w:eastAsia="zh-CN" w:bidi="ar"/>
              </w:rPr>
              <w:t>2</w:t>
            </w:r>
            <w:r>
              <w:rPr>
                <w:rFonts w:hint="eastAsia" w:ascii="宋体" w:hAnsi="宋体" w:eastAsia="宋体" w:cs="宋体"/>
                <w:lang w:val="en-US" w:eastAsia="zh-CN"/>
              </w:rPr>
              <w:t>隔离栏舍</w:t>
            </w:r>
          </w:p>
        </w:tc>
        <w:tc>
          <w:tcPr>
            <w:tcW w:w="1611" w:type="dxa"/>
            <w:vAlign w:val="center"/>
          </w:tcPr>
          <w:p>
            <w:pPr>
              <w:autoSpaceDE w:val="0"/>
              <w:autoSpaceDN w:val="0"/>
              <w:adjustRightInd w:val="0"/>
              <w:spacing w:line="240" w:lineRule="auto"/>
              <w:ind w:firstLine="0" w:firstLineChars="0"/>
              <w:jc w:val="center"/>
              <w:rPr>
                <w:rFonts w:hint="eastAsia" w:ascii="宋体" w:hAnsi="宋体" w:eastAsia="宋体" w:cs="宋体"/>
                <w:lang w:val="en-US" w:eastAsia="zh-CN"/>
              </w:rPr>
            </w:pPr>
            <w:r>
              <w:rPr>
                <w:rFonts w:hint="eastAsia" w:ascii="宋体" w:hAnsi="宋体" w:eastAsia="宋体" w:cs="宋体"/>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饲料库、拌料库</w:t>
            </w:r>
          </w:p>
        </w:tc>
        <w:tc>
          <w:tcPr>
            <w:tcW w:w="286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2 幢，总建筑面积 2033m2，位于生产区西南侧，1幢用于存放、搅拌加工精饲料；1 幢用于贮存青贮饲料封闭发酵</w:t>
            </w:r>
          </w:p>
        </w:tc>
        <w:tc>
          <w:tcPr>
            <w:tcW w:w="2207" w:type="dxa"/>
            <w:vAlign w:val="center"/>
          </w:tcPr>
          <w:p>
            <w:pPr>
              <w:autoSpaceDE w:val="0"/>
              <w:autoSpaceDN w:val="0"/>
              <w:adjustRightInd w:val="0"/>
              <w:spacing w:line="240" w:lineRule="auto"/>
              <w:ind w:firstLine="0" w:firstLineChars="0"/>
              <w:rPr>
                <w:rFonts w:hint="default" w:ascii="宋体" w:hAnsi="宋体" w:eastAsia="宋体" w:cs="宋体"/>
                <w:lang w:val="en-US"/>
              </w:rPr>
            </w:pPr>
            <w:r>
              <w:rPr>
                <w:rFonts w:hint="eastAsia" w:ascii="宋体" w:hAnsi="宋体" w:eastAsia="宋体" w:cs="宋体"/>
                <w:lang w:val="en-US" w:eastAsia="zh-CN"/>
              </w:rPr>
              <w:t>与环评设计基本相符，企业已建精饲料加工厂房和贮存青贮饲料封闭发酵的库房。</w:t>
            </w:r>
          </w:p>
        </w:tc>
        <w:tc>
          <w:tcPr>
            <w:tcW w:w="1611" w:type="dxa"/>
            <w:vAlign w:val="center"/>
          </w:tcPr>
          <w:p>
            <w:pPr>
              <w:autoSpaceDE w:val="0"/>
              <w:autoSpaceDN w:val="0"/>
              <w:adjustRightInd w:val="0"/>
              <w:spacing w:line="240" w:lineRule="auto"/>
              <w:ind w:firstLine="0" w:firstLineChars="0"/>
              <w:jc w:val="center"/>
              <w:rPr>
                <w:rFonts w:hint="eastAsia" w:ascii="宋体" w:hAnsi="宋体" w:eastAsia="宋体" w:cs="宋体"/>
                <w:lang w:val="en-US" w:eastAsia="zh-CN"/>
              </w:rPr>
            </w:pPr>
            <w:r>
              <w:rPr>
                <w:rFonts w:hint="eastAsia" w:ascii="宋体" w:hAnsi="宋体" w:eastAsia="宋体" w:cs="宋体"/>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办公用房、食堂</w:t>
            </w:r>
          </w:p>
        </w:tc>
        <w:tc>
          <w:tcPr>
            <w:tcW w:w="2865" w:type="dxa"/>
            <w:vAlign w:val="center"/>
          </w:tcPr>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1 幢，建筑面积 110m</w:t>
            </w:r>
            <w:r>
              <w:rPr>
                <w:rFonts w:hint="eastAsia" w:asciiTheme="minorEastAsia" w:hAnsiTheme="minorEastAsia" w:eastAsiaTheme="minorEastAsia" w:cstheme="minorEastAsia"/>
                <w:color w:val="000000"/>
                <w:kern w:val="0"/>
                <w:sz w:val="21"/>
                <w:szCs w:val="21"/>
                <w:vertAlign w:val="superscript"/>
                <w:lang w:val="en-US" w:eastAsia="zh-CN" w:bidi="ar"/>
              </w:rPr>
              <w:t>2</w:t>
            </w:r>
            <w:r>
              <w:rPr>
                <w:rFonts w:hint="eastAsia" w:asciiTheme="minorEastAsia" w:hAnsiTheme="minorEastAsia" w:eastAsiaTheme="minorEastAsia" w:cstheme="minorEastAsia"/>
                <w:color w:val="000000"/>
                <w:kern w:val="0"/>
                <w:sz w:val="21"/>
                <w:szCs w:val="21"/>
                <w:lang w:val="en-US" w:eastAsia="zh-CN" w:bidi="ar"/>
              </w:rPr>
              <w:t>，设置办公、会议室</w:t>
            </w:r>
          </w:p>
        </w:tc>
        <w:tc>
          <w:tcPr>
            <w:tcW w:w="2207" w:type="dxa"/>
            <w:vAlign w:val="center"/>
          </w:tcPr>
          <w:p>
            <w:pPr>
              <w:autoSpaceDE w:val="0"/>
              <w:autoSpaceDN w:val="0"/>
              <w:adjustRightInd w:val="0"/>
              <w:spacing w:line="240" w:lineRule="auto"/>
              <w:ind w:left="0" w:leftChars="0" w:firstLine="0" w:firstLineChars="0"/>
              <w:jc w:val="left"/>
              <w:rPr>
                <w:rFonts w:hint="default"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lang w:val="en-US" w:eastAsia="zh-CN" w:bidi="ar-SA"/>
              </w:rPr>
              <w:t>企业已建有</w:t>
            </w:r>
            <w:r>
              <w:rPr>
                <w:rFonts w:hint="eastAsia" w:asciiTheme="minorEastAsia" w:hAnsiTheme="minorEastAsia" w:eastAsiaTheme="minorEastAsia" w:cstheme="minorEastAsia"/>
                <w:color w:val="000000"/>
                <w:kern w:val="0"/>
                <w:sz w:val="21"/>
                <w:szCs w:val="21"/>
                <w:lang w:val="en-US" w:eastAsia="zh-CN" w:bidi="ar"/>
              </w:rPr>
              <w:t>建筑面积 110m</w:t>
            </w:r>
            <w:r>
              <w:rPr>
                <w:rFonts w:hint="eastAsia" w:asciiTheme="minorEastAsia" w:hAnsiTheme="minorEastAsia" w:eastAsiaTheme="minorEastAsia" w:cstheme="minorEastAsia"/>
                <w:color w:val="000000"/>
                <w:kern w:val="0"/>
                <w:sz w:val="21"/>
                <w:szCs w:val="21"/>
                <w:vertAlign w:val="superscript"/>
                <w:lang w:val="en-US" w:eastAsia="zh-CN" w:bidi="ar"/>
              </w:rPr>
              <w:t>2</w:t>
            </w:r>
            <w:r>
              <w:rPr>
                <w:rFonts w:hint="eastAsia" w:asciiTheme="minorEastAsia" w:hAnsiTheme="minorEastAsia" w:eastAsiaTheme="minorEastAsia" w:cstheme="minorEastAsia"/>
                <w:color w:val="000000"/>
                <w:kern w:val="0"/>
                <w:sz w:val="21"/>
                <w:szCs w:val="21"/>
                <w:vertAlign w:val="baseline"/>
                <w:lang w:val="en-US" w:eastAsia="zh-CN" w:bidi="ar"/>
              </w:rPr>
              <w:t>的办公辅助用房。</w:t>
            </w:r>
          </w:p>
        </w:tc>
        <w:tc>
          <w:tcPr>
            <w:tcW w:w="1611" w:type="dxa"/>
            <w:vAlign w:val="center"/>
          </w:tcPr>
          <w:p>
            <w:pPr>
              <w:autoSpaceDE w:val="0"/>
              <w:autoSpaceDN w:val="0"/>
              <w:adjustRightInd w:val="0"/>
              <w:spacing w:line="240" w:lineRule="auto"/>
              <w:ind w:firstLine="0" w:firstLineChars="0"/>
              <w:jc w:val="center"/>
              <w:rPr>
                <w:rFonts w:hint="default" w:ascii="宋体" w:hAnsi="宋体" w:eastAsia="宋体" w:cs="宋体"/>
                <w:lang w:val="en-US" w:eastAsia="zh-CN"/>
              </w:rPr>
            </w:pPr>
            <w:r>
              <w:rPr>
                <w:rFonts w:hint="eastAsia" w:ascii="宋体" w:hAnsi="宋体" w:eastAsia="宋体" w:cs="宋体"/>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restart"/>
            <w:vAlign w:val="center"/>
          </w:tcPr>
          <w:p>
            <w:pPr>
              <w:autoSpaceDE w:val="0"/>
              <w:autoSpaceDN w:val="0"/>
              <w:adjustRightInd w:val="0"/>
              <w:spacing w:line="240" w:lineRule="auto"/>
              <w:ind w:firstLine="0" w:firstLineChars="0"/>
              <w:jc w:val="center"/>
              <w:rPr>
                <w:rFonts w:ascii="宋体" w:hAnsi="宋体" w:eastAsia="宋体" w:cs="宋体"/>
                <w:b/>
              </w:rPr>
            </w:pPr>
            <w:r>
              <w:rPr>
                <w:rFonts w:hint="eastAsia" w:ascii="宋体" w:hAnsi="宋体" w:eastAsia="宋体" w:cs="宋体"/>
                <w:b/>
                <w:lang w:val="en-US" w:eastAsia="zh-CN"/>
              </w:rPr>
              <w:t>公用</w:t>
            </w:r>
            <w:r>
              <w:rPr>
                <w:rFonts w:hint="eastAsia" w:ascii="宋体" w:hAnsi="宋体" w:eastAsia="宋体" w:cs="宋体"/>
                <w:b/>
              </w:rPr>
              <w:t>工程</w:t>
            </w:r>
          </w:p>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autoSpaceDE w:val="0"/>
              <w:autoSpaceDN w:val="0"/>
              <w:adjustRightInd w:val="0"/>
              <w:spacing w:line="240" w:lineRule="auto"/>
              <w:ind w:firstLine="0" w:firstLineChars="0"/>
              <w:jc w:val="center"/>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供水</w:t>
            </w:r>
          </w:p>
          <w:p>
            <w:pPr>
              <w:autoSpaceDE w:val="0"/>
              <w:autoSpaceDN w:val="0"/>
              <w:adjustRightInd w:val="0"/>
              <w:spacing w:line="240" w:lineRule="auto"/>
              <w:ind w:firstLine="0" w:firstLineChars="0"/>
              <w:jc w:val="center"/>
              <w:rPr>
                <w:rFonts w:ascii="宋体" w:hAnsi="宋体" w:eastAsia="宋体" w:cs="宋体"/>
              </w:rPr>
            </w:pPr>
            <w:r>
              <w:rPr>
                <w:rFonts w:hint="eastAsia" w:ascii="宋体" w:hAnsi="宋体" w:eastAsia="宋体" w:cs="宋体"/>
                <w:color w:val="000000"/>
                <w:kern w:val="0"/>
                <w:sz w:val="24"/>
                <w:szCs w:val="24"/>
                <w:lang w:val="en-US" w:eastAsia="zh-CN" w:bidi="ar"/>
              </w:rPr>
              <w:t>系统</w:t>
            </w:r>
          </w:p>
        </w:tc>
        <w:tc>
          <w:tcPr>
            <w:tcW w:w="2865" w:type="dxa"/>
            <w:vAlign w:val="center"/>
          </w:tcPr>
          <w:p>
            <w:pPr>
              <w:keepNext w:val="0"/>
              <w:keepLines w:val="0"/>
              <w:widowControl/>
              <w:suppressLineNumbers w:val="0"/>
              <w:spacing w:line="240" w:lineRule="auto"/>
              <w:ind w:left="0" w:leftChars="0" w:firstLine="0" w:firstLineChars="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企业生活用水采用地下井水，生产用水由厂区内西侧山塘供给</w:t>
            </w:r>
          </w:p>
        </w:tc>
        <w:tc>
          <w:tcPr>
            <w:tcW w:w="2207" w:type="dxa"/>
            <w:vAlign w:val="center"/>
          </w:tcPr>
          <w:p>
            <w:pPr>
              <w:autoSpaceDE w:val="0"/>
              <w:autoSpaceDN w:val="0"/>
              <w:adjustRightInd w:val="0"/>
              <w:spacing w:line="240" w:lineRule="auto"/>
              <w:ind w:firstLine="0" w:firstLineChars="0"/>
              <w:rPr>
                <w:rFonts w:hint="default" w:ascii="宋体" w:hAnsi="宋体" w:eastAsia="宋体" w:cs="宋体"/>
                <w:lang w:val="en-US" w:eastAsia="zh-CN"/>
              </w:rPr>
            </w:pPr>
            <w:r>
              <w:rPr>
                <w:rFonts w:hint="eastAsia" w:ascii="宋体" w:hAnsi="宋体" w:eastAsia="宋体" w:cs="宋体"/>
                <w:lang w:val="en-US" w:eastAsia="zh-CN"/>
              </w:rPr>
              <w:t>与环评设计基本相符</w:t>
            </w:r>
          </w:p>
        </w:tc>
        <w:tc>
          <w:tcPr>
            <w:tcW w:w="1611" w:type="dxa"/>
            <w:vAlign w:val="center"/>
          </w:tcPr>
          <w:p>
            <w:pPr>
              <w:autoSpaceDE w:val="0"/>
              <w:autoSpaceDN w:val="0"/>
              <w:adjustRightInd w:val="0"/>
              <w:spacing w:line="240" w:lineRule="auto"/>
              <w:ind w:firstLine="0" w:firstLineChars="0"/>
              <w:jc w:val="center"/>
              <w:rPr>
                <w:rFonts w:hint="eastAsia" w:ascii="宋体" w:hAnsi="宋体" w:eastAsia="宋体" w:cs="宋体"/>
                <w:lang w:val="en-US" w:eastAsia="zh-CN"/>
              </w:rPr>
            </w:pPr>
            <w:r>
              <w:rPr>
                <w:rFonts w:hint="eastAsia" w:ascii="宋体" w:hAnsi="宋体" w:eastAsia="宋体" w:cs="宋体"/>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autoSpaceDE w:val="0"/>
              <w:autoSpaceDN w:val="0"/>
              <w:adjustRightInd w:val="0"/>
              <w:spacing w:line="240" w:lineRule="auto"/>
              <w:ind w:firstLine="0" w:firstLineChars="0"/>
              <w:jc w:val="center"/>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排水</w:t>
            </w:r>
          </w:p>
          <w:p>
            <w:pPr>
              <w:autoSpaceDE w:val="0"/>
              <w:autoSpaceDN w:val="0"/>
              <w:adjustRightInd w:val="0"/>
              <w:spacing w:line="240" w:lineRule="auto"/>
              <w:ind w:firstLine="0" w:firstLineChars="0"/>
              <w:jc w:val="center"/>
              <w:rPr>
                <w:rFonts w:ascii="宋体" w:hAnsi="宋体" w:eastAsia="宋体" w:cs="宋体"/>
              </w:rPr>
            </w:pPr>
            <w:r>
              <w:rPr>
                <w:rFonts w:hint="eastAsia" w:ascii="宋体" w:hAnsi="宋体" w:eastAsia="宋体" w:cs="宋体"/>
                <w:color w:val="000000"/>
                <w:kern w:val="0"/>
                <w:sz w:val="24"/>
                <w:szCs w:val="24"/>
                <w:lang w:val="en-US" w:eastAsia="zh-CN" w:bidi="ar"/>
              </w:rPr>
              <w:t>系统</w:t>
            </w:r>
          </w:p>
        </w:tc>
        <w:tc>
          <w:tcPr>
            <w:tcW w:w="2865" w:type="dxa"/>
            <w:vAlign w:val="center"/>
          </w:tcPr>
          <w:p>
            <w:pPr>
              <w:autoSpaceDE w:val="0"/>
              <w:autoSpaceDN w:val="0"/>
              <w:adjustRightInd w:val="0"/>
              <w:spacing w:line="240" w:lineRule="auto"/>
              <w:ind w:firstLine="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本项目排水采用山地径流、场区雨水、场区污水 “三水”分流制，养殖场四周设置截洪沟，防止养殖场上游山地径流水进入养殖场内，山地径流 水顺地势流入截洪沟，引入下游河流；场区内雨 污分流。雨水管网系统排水采用暗管重力流排放。项目屋面雨水、绿地雨水和净道路面雨水经重力流管道收集后，汇入排水管网由场地南面排出场外。粪污等养殖废水、初期雨水及生活污水进入废水处理系统处理后灌溉</w:t>
            </w:r>
          </w:p>
        </w:tc>
        <w:tc>
          <w:tcPr>
            <w:tcW w:w="2207" w:type="dxa"/>
            <w:vAlign w:val="center"/>
          </w:tcPr>
          <w:p>
            <w:pPr>
              <w:autoSpaceDE w:val="0"/>
              <w:autoSpaceDN w:val="0"/>
              <w:adjustRightInd w:val="0"/>
              <w:spacing w:line="240" w:lineRule="auto"/>
              <w:ind w:firstLine="0" w:firstLineChars="0"/>
              <w:rPr>
                <w:rFonts w:hint="default" w:ascii="宋体" w:hAnsi="宋体" w:eastAsia="宋体" w:cs="宋体"/>
                <w:lang w:val="en-US" w:eastAsia="zh-CN"/>
              </w:rPr>
            </w:pPr>
            <w:r>
              <w:rPr>
                <w:rFonts w:hint="eastAsia" w:ascii="宋体" w:hAnsi="宋体" w:eastAsia="宋体" w:cs="宋体"/>
                <w:lang w:val="en-US" w:eastAsia="zh-CN"/>
              </w:rPr>
              <w:t>与环评设计基本相符，排水系统基本完善。</w:t>
            </w:r>
          </w:p>
        </w:tc>
        <w:tc>
          <w:tcPr>
            <w:tcW w:w="1611" w:type="dxa"/>
            <w:vAlign w:val="center"/>
          </w:tcPr>
          <w:p>
            <w:pPr>
              <w:autoSpaceDE w:val="0"/>
              <w:autoSpaceDN w:val="0"/>
              <w:adjustRightInd w:val="0"/>
              <w:spacing w:line="240" w:lineRule="auto"/>
              <w:ind w:firstLine="0" w:firstLineChars="0"/>
              <w:jc w:val="center"/>
              <w:rPr>
                <w:rFonts w:hint="default" w:ascii="宋体" w:hAnsi="宋体" w:eastAsia="宋体" w:cs="宋体"/>
                <w:lang w:val="en-US" w:eastAsia="zh-CN"/>
              </w:rPr>
            </w:pPr>
            <w:r>
              <w:rPr>
                <w:rFonts w:hint="eastAsia" w:hAnsi="宋体" w:eastAsia="宋体" w:cs="宋体"/>
                <w:color w:val="000000"/>
                <w:kern w:val="0"/>
                <w:sz w:val="21"/>
                <w:szCs w:val="21"/>
                <w:lang w:val="en-US" w:eastAsia="zh-CN" w:bidi="ar"/>
              </w:rPr>
              <w:t>饲养过程中产生的牛</w:t>
            </w:r>
            <w:r>
              <w:rPr>
                <w:rFonts w:hint="eastAsia" w:asciiTheme="minorEastAsia" w:hAnsiTheme="minorEastAsia" w:eastAsiaTheme="minorEastAsia" w:cstheme="minorEastAsia"/>
                <w:color w:val="000000"/>
                <w:kern w:val="0"/>
                <w:sz w:val="21"/>
                <w:szCs w:val="21"/>
                <w:lang w:val="en-US" w:eastAsia="zh-CN" w:bidi="ar"/>
              </w:rPr>
              <w:t>尿和撒漏水</w:t>
            </w:r>
            <w:r>
              <w:rPr>
                <w:rFonts w:hint="eastAsia" w:asciiTheme="minorEastAsia" w:hAnsiTheme="minorEastAsia" w:eastAsiaTheme="minorEastAsia" w:cstheme="minorEastAsia"/>
                <w:color w:val="000000"/>
                <w:kern w:val="0"/>
                <w:sz w:val="21"/>
                <w:szCs w:val="21"/>
                <w:vertAlign w:val="baseline"/>
                <w:lang w:val="en-US" w:eastAsia="zh-CN" w:bidi="ar"/>
              </w:rPr>
              <w:t>直接混入</w:t>
            </w:r>
            <w:r>
              <w:rPr>
                <w:rFonts w:hint="eastAsia" w:asciiTheme="minorEastAsia" w:hAnsiTheme="minorEastAsia" w:eastAsiaTheme="minorEastAsia" w:cstheme="minorEastAsia"/>
                <w:b w:val="0"/>
                <w:bCs w:val="0"/>
                <w:color w:val="000000"/>
                <w:kern w:val="0"/>
                <w:sz w:val="21"/>
                <w:szCs w:val="21"/>
                <w:lang w:val="en-US" w:eastAsia="zh-CN" w:bidi="ar"/>
              </w:rPr>
              <w:t>牛粪便、饲料残渣中后与牛粪便、饲料残渣一并委托进行了处理，</w:t>
            </w:r>
            <w:r>
              <w:rPr>
                <w:rFonts w:hint="eastAsia" w:asciiTheme="minorEastAsia" w:hAnsiTheme="minorEastAsia" w:eastAsiaTheme="minorEastAsia" w:cstheme="minorEastAsia"/>
                <w:color w:val="000000"/>
                <w:kern w:val="0"/>
                <w:sz w:val="21"/>
                <w:szCs w:val="21"/>
                <w:lang w:val="en-US" w:eastAsia="zh-CN" w:bidi="ar"/>
              </w:rPr>
              <w:t>初期雨水及生活污水进入原污水处理池经处理后用于附近山林农地的灌溉和消纳。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autoSpaceDE w:val="0"/>
              <w:autoSpaceDN w:val="0"/>
              <w:adjustRightInd w:val="0"/>
              <w:spacing w:line="240" w:lineRule="auto"/>
              <w:ind w:firstLine="0" w:firstLineChars="0"/>
              <w:jc w:val="center"/>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供气</w:t>
            </w:r>
          </w:p>
          <w:p>
            <w:pPr>
              <w:autoSpaceDE w:val="0"/>
              <w:autoSpaceDN w:val="0"/>
              <w:adjustRightInd w:val="0"/>
              <w:spacing w:line="240" w:lineRule="auto"/>
              <w:ind w:firstLine="0" w:firstLineChars="0"/>
              <w:jc w:val="center"/>
              <w:rPr>
                <w:rFonts w:ascii="宋体" w:hAnsi="宋体" w:eastAsia="宋体" w:cs="宋体"/>
                <w:sz w:val="24"/>
                <w:szCs w:val="24"/>
              </w:rPr>
            </w:pPr>
            <w:r>
              <w:rPr>
                <w:rFonts w:hint="eastAsia" w:ascii="宋体" w:hAnsi="宋体" w:eastAsia="宋体" w:cs="宋体"/>
                <w:color w:val="000000"/>
                <w:kern w:val="0"/>
                <w:sz w:val="24"/>
                <w:szCs w:val="24"/>
                <w:lang w:val="en-US" w:eastAsia="zh-CN" w:bidi="ar"/>
              </w:rPr>
              <w:t>系统</w:t>
            </w:r>
          </w:p>
        </w:tc>
        <w:tc>
          <w:tcPr>
            <w:tcW w:w="2865" w:type="dxa"/>
            <w:vAlign w:val="center"/>
          </w:tcPr>
          <w:p>
            <w:pPr>
              <w:keepNext w:val="0"/>
              <w:keepLines w:val="0"/>
              <w:widowControl/>
              <w:suppressLineNumbers w:val="0"/>
              <w:spacing w:line="240" w:lineRule="auto"/>
              <w:ind w:left="0" w:leftChars="0" w:firstLine="0" w:firstLineChars="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厂内 UASB 厌氧工艺产生的沼气，项目年产沼气用于厂区食堂、热水等使用，多余的火炬放散系统放散。</w:t>
            </w:r>
          </w:p>
        </w:tc>
        <w:tc>
          <w:tcPr>
            <w:tcW w:w="2207" w:type="dxa"/>
            <w:vAlign w:val="center"/>
          </w:tcPr>
          <w:p>
            <w:pPr>
              <w:autoSpaceDE w:val="0"/>
              <w:autoSpaceDN w:val="0"/>
              <w:adjustRightInd w:val="0"/>
              <w:spacing w:line="240" w:lineRule="auto"/>
              <w:ind w:firstLine="0" w:firstLineChars="0"/>
              <w:jc w:val="center"/>
              <w:rPr>
                <w:rFonts w:hint="default" w:ascii="宋体" w:hAnsi="宋体" w:eastAsia="宋体" w:cs="宋体"/>
                <w:lang w:val="en-US" w:eastAsia="zh-CN"/>
              </w:rPr>
            </w:pPr>
            <w:r>
              <w:rPr>
                <w:rFonts w:hint="eastAsia" w:ascii="宋体" w:hAnsi="宋体" w:eastAsia="宋体" w:cs="宋体"/>
                <w:lang w:val="en-US" w:eastAsia="zh-CN"/>
              </w:rPr>
              <w:t>污水处理设施变更，暂缓建设。</w:t>
            </w:r>
          </w:p>
        </w:tc>
        <w:tc>
          <w:tcPr>
            <w:tcW w:w="1611" w:type="dxa"/>
            <w:vAlign w:val="center"/>
          </w:tcPr>
          <w:p>
            <w:pPr>
              <w:pStyle w:val="28"/>
              <w:spacing w:line="240" w:lineRule="auto"/>
              <w:ind w:left="0" w:leftChars="0" w:firstLine="0" w:firstLineChars="0"/>
              <w:rPr>
                <w:rFonts w:hint="default" w:ascii="宋体" w:hAnsi="宋体" w:eastAsia="宋体" w:cs="宋体"/>
                <w:lang w:val="en-US" w:eastAsia="zh-CN"/>
              </w:rPr>
            </w:pPr>
            <w:r>
              <w:rPr>
                <w:rFonts w:hint="eastAsia" w:asciiTheme="minorEastAsia" w:hAnsiTheme="minorEastAsia" w:eastAsiaTheme="minorEastAsia" w:cstheme="minorEastAsia"/>
                <w:sz w:val="21"/>
                <w:szCs w:val="21"/>
                <w:lang w:val="en-US" w:eastAsia="zh-CN"/>
              </w:rPr>
              <w:t>由于无养殖废水排放，原污水处理设施进行了变更，</w:t>
            </w:r>
            <w:r>
              <w:rPr>
                <w:rFonts w:hint="eastAsia" w:asciiTheme="minorEastAsia" w:hAnsiTheme="minorEastAsia" w:eastAsiaTheme="minorEastAsia" w:cstheme="minorEastAsia"/>
                <w:color w:val="000000"/>
                <w:kern w:val="0"/>
                <w:sz w:val="21"/>
                <w:szCs w:val="21"/>
                <w:lang w:val="en-US" w:eastAsia="zh-CN" w:bidi="ar"/>
              </w:rPr>
              <w:t>UASB 厌氧工艺未实施，故沼气供气系统</w:t>
            </w:r>
            <w:r>
              <w:rPr>
                <w:rFonts w:hint="eastAsia" w:asciiTheme="minorEastAsia" w:hAnsiTheme="minorEastAsia" w:eastAsiaTheme="minorEastAsia" w:cstheme="minorEastAsia"/>
                <w:sz w:val="21"/>
                <w:szCs w:val="21"/>
                <w:lang w:val="en-US" w:eastAsia="zh-CN"/>
              </w:rPr>
              <w:t>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keepNext w:val="0"/>
              <w:keepLines w:val="0"/>
              <w:widowControl/>
              <w:suppressLineNumbers w:val="0"/>
              <w:spacing w:line="240" w:lineRule="auto"/>
              <w:ind w:left="0" w:leftChars="0" w:firstLine="0" w:firstLineChars="0"/>
              <w:jc w:val="center"/>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供电</w:t>
            </w:r>
          </w:p>
          <w:p>
            <w:pPr>
              <w:keepNext w:val="0"/>
              <w:keepLines w:val="0"/>
              <w:widowControl/>
              <w:suppressLineNumbers w:val="0"/>
              <w:spacing w:line="240" w:lineRule="auto"/>
              <w:ind w:left="0" w:leftChars="0" w:firstLine="0" w:firstLineChars="0"/>
              <w:jc w:val="center"/>
              <w:rPr>
                <w:rFonts w:ascii="宋体" w:hAnsi="宋体" w:eastAsia="宋体" w:cs="宋体"/>
                <w:sz w:val="24"/>
                <w:szCs w:val="24"/>
              </w:rPr>
            </w:pPr>
            <w:r>
              <w:rPr>
                <w:rFonts w:hint="eastAsia" w:ascii="宋体" w:hAnsi="宋体" w:eastAsia="宋体" w:cs="宋体"/>
                <w:color w:val="000000"/>
                <w:kern w:val="0"/>
                <w:sz w:val="24"/>
                <w:szCs w:val="24"/>
                <w:lang w:val="en-US" w:eastAsia="zh-CN" w:bidi="ar"/>
              </w:rPr>
              <w:t>系统</w:t>
            </w:r>
          </w:p>
        </w:tc>
        <w:tc>
          <w:tcPr>
            <w:tcW w:w="2865" w:type="dxa"/>
            <w:vAlign w:val="center"/>
          </w:tcPr>
          <w:p>
            <w:pPr>
              <w:keepNext w:val="0"/>
              <w:keepLines w:val="0"/>
              <w:widowControl/>
              <w:suppressLineNumbers w:val="0"/>
              <w:spacing w:line="240" w:lineRule="auto"/>
              <w:ind w:left="0" w:leftChars="0" w:firstLine="0" w:firstLineChars="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项目设变配电房 1 座，采用 1 台 S11-M-315/10-0.4KVA 变压器，用电由衢江电网供应</w:t>
            </w:r>
          </w:p>
        </w:tc>
        <w:tc>
          <w:tcPr>
            <w:tcW w:w="2207" w:type="dxa"/>
            <w:vAlign w:val="center"/>
          </w:tcPr>
          <w:p>
            <w:pPr>
              <w:autoSpaceDE w:val="0"/>
              <w:autoSpaceDN w:val="0"/>
              <w:adjustRightInd w:val="0"/>
              <w:spacing w:line="240" w:lineRule="auto"/>
              <w:ind w:firstLine="0" w:firstLineChars="0"/>
              <w:rPr>
                <w:rFonts w:hint="default" w:ascii="宋体" w:hAnsi="宋体" w:eastAsia="宋体" w:cs="宋体"/>
                <w:lang w:val="en-US" w:eastAsia="zh-CN"/>
              </w:rPr>
            </w:pPr>
            <w:r>
              <w:rPr>
                <w:rFonts w:hint="eastAsia" w:ascii="宋体" w:hAnsi="宋体" w:eastAsia="宋体" w:cs="宋体"/>
                <w:lang w:val="en-US" w:eastAsia="zh-CN"/>
              </w:rPr>
              <w:t>与环评设计基本相符，已建设</w:t>
            </w:r>
          </w:p>
        </w:tc>
        <w:tc>
          <w:tcPr>
            <w:tcW w:w="1611" w:type="dxa"/>
            <w:vAlign w:val="center"/>
          </w:tcPr>
          <w:p>
            <w:pPr>
              <w:autoSpaceDE w:val="0"/>
              <w:autoSpaceDN w:val="0"/>
              <w:adjustRightInd w:val="0"/>
              <w:spacing w:line="240" w:lineRule="auto"/>
              <w:ind w:firstLine="0" w:firstLineChars="0"/>
              <w:jc w:val="center"/>
              <w:rPr>
                <w:rFonts w:hint="eastAsia" w:ascii="宋体" w:hAnsi="宋体" w:eastAsia="宋体" w:cs="宋体"/>
                <w:lang w:val="en-US" w:eastAsia="zh-CN"/>
              </w:rPr>
            </w:pPr>
            <w:r>
              <w:rPr>
                <w:rFonts w:hint="eastAsia" w:ascii="宋体" w:hAnsi="宋体" w:eastAsia="宋体" w:cs="宋体"/>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autoSpaceDE w:val="0"/>
              <w:autoSpaceDN w:val="0"/>
              <w:adjustRightInd w:val="0"/>
              <w:spacing w:line="240" w:lineRule="auto"/>
              <w:ind w:firstLine="0" w:firstLineChars="0"/>
              <w:rPr>
                <w:rFonts w:ascii="宋体" w:hAnsi="宋体" w:eastAsia="宋体" w:cs="宋体"/>
                <w:sz w:val="24"/>
                <w:szCs w:val="24"/>
              </w:rPr>
            </w:pPr>
            <w:r>
              <w:rPr>
                <w:rFonts w:hint="eastAsia" w:ascii="宋体" w:hAnsi="宋体" w:eastAsia="宋体" w:cs="宋体"/>
                <w:color w:val="000000"/>
                <w:kern w:val="0"/>
                <w:sz w:val="24"/>
                <w:szCs w:val="24"/>
                <w:lang w:val="en-US" w:eastAsia="zh-CN" w:bidi="ar"/>
              </w:rPr>
              <w:t>沼气柜</w:t>
            </w:r>
          </w:p>
        </w:tc>
        <w:tc>
          <w:tcPr>
            <w:tcW w:w="2865" w:type="dxa"/>
            <w:vAlign w:val="center"/>
          </w:tcPr>
          <w:p>
            <w:pPr>
              <w:autoSpaceDE w:val="0"/>
              <w:autoSpaceDN w:val="0"/>
              <w:adjustRightInd w:val="0"/>
              <w:spacing w:line="240" w:lineRule="auto"/>
              <w:ind w:firstLine="0" w:firstLineChars="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设置 20m3沼气柜用于沼气存储</w:t>
            </w:r>
          </w:p>
        </w:tc>
        <w:tc>
          <w:tcPr>
            <w:tcW w:w="2207" w:type="dxa"/>
            <w:vAlign w:val="center"/>
          </w:tcPr>
          <w:p>
            <w:pPr>
              <w:autoSpaceDE w:val="0"/>
              <w:autoSpaceDN w:val="0"/>
              <w:adjustRightInd w:val="0"/>
              <w:spacing w:line="240" w:lineRule="auto"/>
              <w:ind w:firstLine="0" w:firstLineChars="0"/>
              <w:jc w:val="center"/>
              <w:rPr>
                <w:rFonts w:hint="default" w:ascii="宋体" w:hAnsi="宋体" w:eastAsia="宋体" w:cs="宋体"/>
                <w:lang w:val="en-US" w:eastAsia="zh-CN"/>
              </w:rPr>
            </w:pPr>
            <w:r>
              <w:rPr>
                <w:rFonts w:hint="eastAsia" w:ascii="宋体" w:hAnsi="宋体" w:eastAsia="宋体" w:cs="宋体"/>
                <w:lang w:val="en-US" w:eastAsia="zh-CN"/>
              </w:rPr>
              <w:t>项目变更，未设置。</w:t>
            </w:r>
          </w:p>
        </w:tc>
        <w:tc>
          <w:tcPr>
            <w:tcW w:w="1611" w:type="dxa"/>
            <w:vAlign w:val="center"/>
          </w:tcPr>
          <w:p>
            <w:pPr>
              <w:pStyle w:val="28"/>
              <w:spacing w:line="240" w:lineRule="auto"/>
              <w:ind w:left="0" w:leftChars="0" w:firstLine="0" w:firstLineChars="0"/>
              <w:rPr>
                <w:rFonts w:hint="default" w:ascii="宋体" w:hAnsi="宋体" w:eastAsia="宋体" w:cs="宋体"/>
                <w:lang w:val="en-US" w:eastAsia="zh-CN"/>
              </w:rPr>
            </w:pPr>
            <w:r>
              <w:rPr>
                <w:rFonts w:hint="eastAsia" w:ascii="宋体" w:hAnsi="宋体" w:eastAsia="宋体" w:cs="宋体"/>
                <w:lang w:val="en-US" w:eastAsia="zh-CN"/>
              </w:rPr>
              <w:t>由于</w:t>
            </w:r>
            <w:r>
              <w:rPr>
                <w:rFonts w:hint="eastAsia" w:asciiTheme="minorEastAsia" w:hAnsiTheme="minorEastAsia" w:eastAsiaTheme="minorEastAsia" w:cstheme="minorEastAsia"/>
                <w:color w:val="000000"/>
                <w:kern w:val="0"/>
                <w:sz w:val="21"/>
                <w:szCs w:val="21"/>
                <w:lang w:val="en-US" w:eastAsia="zh-CN" w:bidi="ar"/>
              </w:rPr>
              <w:t>UASB 厌氧工艺未实施，故沼气柜</w:t>
            </w:r>
            <w:r>
              <w:rPr>
                <w:rFonts w:hint="eastAsia" w:ascii="宋体" w:hAnsi="宋体" w:eastAsia="宋体" w:cs="宋体"/>
                <w:lang w:val="en-US" w:eastAsia="zh-CN"/>
              </w:rPr>
              <w:t>未设置。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restart"/>
            <w:vAlign w:val="center"/>
          </w:tcPr>
          <w:p>
            <w:pPr>
              <w:autoSpaceDE w:val="0"/>
              <w:autoSpaceDN w:val="0"/>
              <w:adjustRightInd w:val="0"/>
              <w:spacing w:line="240" w:lineRule="auto"/>
              <w:ind w:firstLine="0" w:firstLineChars="0"/>
              <w:jc w:val="center"/>
              <w:rPr>
                <w:rFonts w:ascii="宋体" w:hAnsi="宋体" w:eastAsia="宋体" w:cs="宋体"/>
                <w:b/>
              </w:rPr>
            </w:pPr>
            <w:r>
              <w:rPr>
                <w:rFonts w:hint="eastAsia" w:ascii="宋体" w:hAnsi="宋体" w:eastAsia="宋体" w:cs="宋体"/>
                <w:b/>
                <w:lang w:val="en-US" w:eastAsia="zh-CN"/>
              </w:rPr>
              <w:t>环保</w:t>
            </w:r>
            <w:r>
              <w:rPr>
                <w:rFonts w:hint="eastAsia" w:ascii="宋体" w:hAnsi="宋体" w:eastAsia="宋体" w:cs="宋体"/>
                <w:b/>
              </w:rPr>
              <w:t>工程</w:t>
            </w:r>
          </w:p>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栏舍</w:t>
            </w:r>
          </w:p>
        </w:tc>
        <w:tc>
          <w:tcPr>
            <w:tcW w:w="2865" w:type="dxa"/>
            <w:vAlign w:val="center"/>
          </w:tcPr>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通过控制饲养密度、使用饲料添加剂，项目栏舍拟采用干清粪工艺，同时加强舍内通风、及时清粪、喷洒除臭剂、栏舍周围设绿化隔离带等措施，可大幅减少栏舍恶臭气体的排放</w:t>
            </w:r>
          </w:p>
        </w:tc>
        <w:tc>
          <w:tcPr>
            <w:tcW w:w="2207" w:type="dxa"/>
            <w:vAlign w:val="center"/>
          </w:tcPr>
          <w:p>
            <w:pPr>
              <w:autoSpaceDE w:val="0"/>
              <w:autoSpaceDN w:val="0"/>
              <w:adjustRightInd w:val="0"/>
              <w:spacing w:line="240" w:lineRule="auto"/>
              <w:ind w:firstLine="0" w:firstLineChars="0"/>
              <w:rPr>
                <w:rFonts w:ascii="宋体" w:hAnsi="宋体" w:eastAsia="宋体" w:cs="宋体"/>
              </w:rPr>
            </w:pPr>
            <w:r>
              <w:rPr>
                <w:rFonts w:hint="eastAsia" w:ascii="宋体" w:hAnsi="宋体" w:eastAsia="宋体" w:cs="宋体"/>
                <w:lang w:val="en-US" w:eastAsia="zh-CN"/>
              </w:rPr>
              <w:t>企业建有</w:t>
            </w:r>
            <w:r>
              <w:rPr>
                <w:rFonts w:hint="eastAsia" w:asciiTheme="minorEastAsia" w:hAnsiTheme="minorEastAsia" w:eastAsiaTheme="minorEastAsia" w:cstheme="minorEastAsia"/>
                <w:color w:val="000000"/>
                <w:kern w:val="0"/>
                <w:sz w:val="21"/>
                <w:szCs w:val="21"/>
                <w:lang w:val="en-US" w:eastAsia="zh-CN" w:bidi="ar"/>
              </w:rPr>
              <w:t>10栋饲养栏舍</w:t>
            </w:r>
            <w:r>
              <w:rPr>
                <w:rFonts w:hint="eastAsia" w:ascii="宋体" w:hAnsi="宋体" w:eastAsia="宋体" w:cs="宋体"/>
                <w:lang w:val="en-US" w:eastAsia="zh-CN"/>
              </w:rPr>
              <w:t>，</w:t>
            </w:r>
            <w:r>
              <w:rPr>
                <w:rFonts w:hint="eastAsia" w:asciiTheme="minorEastAsia" w:hAnsiTheme="minorEastAsia" w:eastAsiaTheme="minorEastAsia" w:cstheme="minorEastAsia"/>
                <w:color w:val="000000"/>
                <w:kern w:val="0"/>
                <w:sz w:val="21"/>
                <w:szCs w:val="21"/>
                <w:lang w:val="en-US" w:eastAsia="zh-CN" w:bidi="ar"/>
              </w:rPr>
              <w:t>栏舍采用干清粪工艺，同时加强舍内通风、及时清粪、喷洒除臭剂、栏舍周围设绿化隔离带等措施。</w:t>
            </w:r>
          </w:p>
        </w:tc>
        <w:tc>
          <w:tcPr>
            <w:tcW w:w="1611" w:type="dxa"/>
            <w:vAlign w:val="center"/>
          </w:tcPr>
          <w:p>
            <w:pPr>
              <w:autoSpaceDE w:val="0"/>
              <w:autoSpaceDN w:val="0"/>
              <w:adjustRightInd w:val="0"/>
              <w:spacing w:line="240" w:lineRule="auto"/>
              <w:ind w:firstLine="0" w:firstLineChars="0"/>
              <w:jc w:val="center"/>
              <w:rPr>
                <w:rFonts w:hint="eastAsia" w:ascii="宋体" w:hAnsi="宋体" w:eastAsia="宋体" w:cs="宋体"/>
                <w:lang w:val="en-US" w:eastAsia="zh-CN"/>
              </w:rPr>
            </w:pPr>
            <w:r>
              <w:rPr>
                <w:rFonts w:hint="eastAsia" w:ascii="宋体" w:hAnsi="宋体" w:eastAsia="宋体" w:cs="宋体"/>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集粪间</w:t>
            </w:r>
          </w:p>
        </w:tc>
        <w:tc>
          <w:tcPr>
            <w:tcW w:w="286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集粪间臭气经塑料薄膜遮盖+每天喷雾一次 500 倍稀释的除臭剂，加强绿化</w:t>
            </w:r>
          </w:p>
        </w:tc>
        <w:tc>
          <w:tcPr>
            <w:tcW w:w="2207" w:type="dxa"/>
            <w:vAlign w:val="center"/>
          </w:tcPr>
          <w:p>
            <w:pPr>
              <w:autoSpaceDE w:val="0"/>
              <w:autoSpaceDN w:val="0"/>
              <w:adjustRightInd w:val="0"/>
              <w:spacing w:line="240" w:lineRule="auto"/>
              <w:ind w:firstLine="0" w:firstLineChars="0"/>
              <w:rPr>
                <w:rFonts w:hint="eastAsia" w:ascii="宋体" w:hAnsi="宋体" w:eastAsia="宋体" w:cs="宋体"/>
                <w:lang w:val="en-US" w:eastAsia="zh-CN"/>
              </w:rPr>
            </w:pPr>
            <w:r>
              <w:rPr>
                <w:rFonts w:hint="eastAsia" w:asciiTheme="minorEastAsia" w:hAnsiTheme="minorEastAsia" w:eastAsiaTheme="minorEastAsia" w:cstheme="minorEastAsia"/>
                <w:sz w:val="21"/>
                <w:szCs w:val="21"/>
                <w:vertAlign w:val="baseline"/>
                <w:lang w:val="en-US" w:eastAsia="zh-CN"/>
              </w:rPr>
              <w:t>企业建有1000m</w:t>
            </w:r>
            <w:r>
              <w:rPr>
                <w:rFonts w:hint="eastAsia" w:asciiTheme="minorEastAsia" w:hAnsiTheme="minorEastAsia" w:eastAsiaTheme="minorEastAsia" w:cstheme="minorEastAsia"/>
                <w:sz w:val="21"/>
                <w:szCs w:val="21"/>
                <w:vertAlign w:val="superscript"/>
                <w:lang w:val="en-US" w:eastAsia="zh-CN"/>
              </w:rPr>
              <w:t>2</w:t>
            </w:r>
            <w:r>
              <w:rPr>
                <w:rFonts w:hint="eastAsia" w:asciiTheme="minorEastAsia" w:hAnsiTheme="minorEastAsia" w:eastAsiaTheme="minorEastAsia" w:cstheme="minorEastAsia"/>
                <w:sz w:val="21"/>
                <w:szCs w:val="21"/>
                <w:vertAlign w:val="baseline"/>
                <w:lang w:val="en-US" w:eastAsia="zh-CN"/>
              </w:rPr>
              <w:t>的集粪间，按环评设计要求进行了集粪间臭气的治理。</w:t>
            </w:r>
          </w:p>
        </w:tc>
        <w:tc>
          <w:tcPr>
            <w:tcW w:w="1611" w:type="dxa"/>
            <w:vAlign w:val="center"/>
          </w:tcPr>
          <w:p>
            <w:pPr>
              <w:autoSpaceDE w:val="0"/>
              <w:autoSpaceDN w:val="0"/>
              <w:adjustRightInd w:val="0"/>
              <w:spacing w:line="240" w:lineRule="auto"/>
              <w:ind w:firstLine="0" w:firstLineChars="0"/>
              <w:jc w:val="center"/>
              <w:rPr>
                <w:rFonts w:hint="eastAsia" w:ascii="宋体" w:hAnsi="宋体" w:eastAsia="宋体" w:cs="宋体"/>
                <w:lang w:val="en-US" w:eastAsia="zh-CN"/>
              </w:rPr>
            </w:pPr>
            <w:r>
              <w:rPr>
                <w:rFonts w:hint="eastAsia" w:ascii="宋体" w:hAnsi="宋体" w:eastAsia="宋体" w:cs="宋体"/>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4"/>
                <w:szCs w:val="24"/>
                <w:lang w:val="en-US" w:eastAsia="zh-CN" w:bidi="ar"/>
              </w:rPr>
              <w:t>污水站臭气</w:t>
            </w:r>
          </w:p>
        </w:tc>
        <w:tc>
          <w:tcPr>
            <w:tcW w:w="2865" w:type="dxa"/>
            <w:vAlign w:val="center"/>
          </w:tcPr>
          <w:p>
            <w:pPr>
              <w:keepNext w:val="0"/>
              <w:keepLines w:val="0"/>
              <w:widowControl/>
              <w:suppressLineNumbers w:val="0"/>
              <w:spacing w:line="240" w:lineRule="auto"/>
              <w:ind w:left="0" w:leftChars="0" w:firstLine="0" w:firstLine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沼气池采用无水式覆膜工艺进行封闭；对集水池、预沉池、污泥浓缩池等单元设置密闭集气，臭气通过引风机经除臭喷淋系统处理后通过 15m排气筒排放</w:t>
            </w:r>
          </w:p>
        </w:tc>
        <w:tc>
          <w:tcPr>
            <w:tcW w:w="2207" w:type="dxa"/>
            <w:vAlign w:val="center"/>
          </w:tcPr>
          <w:p>
            <w:pPr>
              <w:pStyle w:val="28"/>
              <w:numPr>
                <w:ilvl w:val="0"/>
                <w:numId w:val="0"/>
              </w:numPr>
              <w:spacing w:line="240" w:lineRule="auto"/>
              <w:jc w:val="center"/>
              <w:rPr>
                <w:rFonts w:hint="default" w:ascii="宋体" w:hAnsi="宋体" w:eastAsia="宋体" w:cs="宋体"/>
                <w:lang w:val="en-US" w:eastAsia="zh-CN"/>
              </w:rPr>
            </w:pPr>
            <w:r>
              <w:rPr>
                <w:rFonts w:hint="eastAsia" w:hAnsi="宋体" w:eastAsia="宋体" w:cs="宋体"/>
                <w:lang w:val="en-US" w:eastAsia="zh-CN"/>
              </w:rPr>
              <w:t>企业因无养殖废水排放，故配套的污水处理设施和</w:t>
            </w:r>
            <w:r>
              <w:rPr>
                <w:rFonts w:hint="eastAsia" w:asciiTheme="minorEastAsia" w:hAnsiTheme="minorEastAsia" w:eastAsiaTheme="minorEastAsia" w:cstheme="minorEastAsia"/>
                <w:b w:val="0"/>
                <w:bCs w:val="0"/>
                <w:color w:val="000000"/>
                <w:kern w:val="0"/>
                <w:sz w:val="21"/>
                <w:szCs w:val="21"/>
                <w:lang w:val="en-US" w:eastAsia="zh-CN" w:bidi="ar"/>
              </w:rPr>
              <w:t>尾气收集设施</w:t>
            </w:r>
            <w:r>
              <w:rPr>
                <w:rFonts w:hint="eastAsia" w:hAnsi="宋体" w:eastAsia="宋体" w:cs="宋体"/>
                <w:lang w:val="en-US" w:eastAsia="zh-CN"/>
              </w:rPr>
              <w:t>暂缓建设</w:t>
            </w:r>
          </w:p>
        </w:tc>
        <w:tc>
          <w:tcPr>
            <w:tcW w:w="1611" w:type="dxa"/>
            <w:vAlign w:val="center"/>
          </w:tcPr>
          <w:p>
            <w:pPr>
              <w:pStyle w:val="28"/>
              <w:spacing w:line="240" w:lineRule="auto"/>
              <w:ind w:left="0" w:leftChars="0" w:firstLine="0" w:firstLineChars="0"/>
              <w:rPr>
                <w:rFonts w:hint="default" w:ascii="宋体" w:hAnsi="宋体" w:eastAsia="宋体" w:cs="宋体"/>
                <w:lang w:val="en-US" w:eastAsia="zh-CN"/>
              </w:rPr>
            </w:pPr>
            <w:r>
              <w:rPr>
                <w:rFonts w:hint="eastAsia" w:asciiTheme="minorEastAsia" w:hAnsiTheme="minorEastAsia" w:eastAsiaTheme="minorEastAsia" w:cstheme="minorEastAsia"/>
                <w:b w:val="0"/>
                <w:bCs w:val="0"/>
                <w:color w:val="000000"/>
                <w:kern w:val="0"/>
                <w:sz w:val="21"/>
                <w:szCs w:val="21"/>
                <w:lang w:val="en-US" w:eastAsia="zh-CN" w:bidi="ar"/>
              </w:rPr>
              <w:t>企业因无废水排放，故整个污水处理的尾气收集设施暂缓建设。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好氧堆肥臭气</w:t>
            </w:r>
          </w:p>
        </w:tc>
        <w:tc>
          <w:tcPr>
            <w:tcW w:w="286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好氧堆肥臭气经除臭剂喷淋处理工艺处理后通过15m 排气筒排放</w:t>
            </w:r>
          </w:p>
        </w:tc>
        <w:tc>
          <w:tcPr>
            <w:tcW w:w="2207" w:type="dxa"/>
            <w:vAlign w:val="center"/>
          </w:tcPr>
          <w:p>
            <w:pPr>
              <w:autoSpaceDE w:val="0"/>
              <w:autoSpaceDN w:val="0"/>
              <w:adjustRightInd w:val="0"/>
              <w:spacing w:line="240" w:lineRule="auto"/>
              <w:ind w:firstLine="0" w:firstLineChars="0"/>
              <w:jc w:val="center"/>
              <w:rPr>
                <w:rFonts w:hint="default" w:ascii="宋体" w:hAnsi="宋体" w:eastAsia="宋体" w:cs="宋体"/>
                <w:lang w:val="en-US" w:eastAsia="zh-CN"/>
              </w:rPr>
            </w:pPr>
            <w:r>
              <w:rPr>
                <w:rFonts w:hint="eastAsia" w:ascii="宋体" w:hAnsi="宋体" w:eastAsia="宋体" w:cs="宋体"/>
                <w:lang w:val="en-US" w:eastAsia="zh-CN"/>
              </w:rPr>
              <w:t>项目变更，未建设。</w:t>
            </w:r>
          </w:p>
        </w:tc>
        <w:tc>
          <w:tcPr>
            <w:tcW w:w="1611" w:type="dxa"/>
            <w:vAlign w:val="center"/>
          </w:tcPr>
          <w:p>
            <w:pPr>
              <w:autoSpaceDE w:val="0"/>
              <w:autoSpaceDN w:val="0"/>
              <w:adjustRightInd w:val="0"/>
              <w:spacing w:line="240" w:lineRule="auto"/>
              <w:ind w:firstLine="0" w:firstLineChars="0"/>
              <w:jc w:val="center"/>
              <w:rPr>
                <w:rFonts w:hint="default" w:ascii="宋体" w:hAnsi="宋体" w:eastAsia="宋体" w:cs="宋体"/>
                <w:lang w:val="en-US" w:eastAsia="zh-CN"/>
              </w:rPr>
            </w:pPr>
            <w:r>
              <w:rPr>
                <w:rFonts w:hint="eastAsia" w:asciiTheme="minorEastAsia" w:hAnsiTheme="minorEastAsia" w:eastAsiaTheme="minorEastAsia" w:cstheme="minorEastAsia"/>
                <w:b w:val="0"/>
                <w:bCs w:val="0"/>
                <w:color w:val="000000"/>
                <w:kern w:val="0"/>
                <w:sz w:val="21"/>
                <w:szCs w:val="21"/>
                <w:lang w:val="en-US" w:eastAsia="zh-CN" w:bidi="ar"/>
              </w:rPr>
              <w:t>有机肥基料生产工艺变更，无好氧堆肥臭气产生。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4"/>
                <w:szCs w:val="24"/>
                <w:lang w:val="en-US" w:eastAsia="zh-CN" w:bidi="ar"/>
              </w:rPr>
              <w:t>沼气</w:t>
            </w:r>
          </w:p>
        </w:tc>
        <w:tc>
          <w:tcPr>
            <w:tcW w:w="286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项目沼气利用不涉及锅炉，沼气主要用于厂区食堂、热水等使用，厌氧发酵产生的沼气经脱硫装置处理后用于食堂炊事，多余沼气经火炬燃烧器进行充分燃烧后通过 1 根 3m 高排气筒低空排放。</w:t>
            </w:r>
          </w:p>
        </w:tc>
        <w:tc>
          <w:tcPr>
            <w:tcW w:w="2207" w:type="dxa"/>
            <w:vAlign w:val="center"/>
          </w:tcPr>
          <w:p>
            <w:pPr>
              <w:autoSpaceDE w:val="0"/>
              <w:autoSpaceDN w:val="0"/>
              <w:adjustRightInd w:val="0"/>
              <w:spacing w:line="240" w:lineRule="auto"/>
              <w:ind w:firstLine="0" w:firstLineChars="0"/>
              <w:jc w:val="center"/>
              <w:rPr>
                <w:rFonts w:hint="default" w:ascii="宋体" w:hAnsi="宋体" w:eastAsia="宋体" w:cs="宋体"/>
                <w:lang w:val="en-US" w:eastAsia="zh-CN"/>
              </w:rPr>
            </w:pPr>
            <w:r>
              <w:rPr>
                <w:rFonts w:hint="eastAsia" w:ascii="宋体" w:hAnsi="宋体" w:eastAsia="宋体" w:cs="宋体"/>
                <w:lang w:val="en-US" w:eastAsia="zh-CN"/>
              </w:rPr>
              <w:t>污水处理设施变更，暂缓建设。</w:t>
            </w:r>
          </w:p>
        </w:tc>
        <w:tc>
          <w:tcPr>
            <w:tcW w:w="1611" w:type="dxa"/>
            <w:vAlign w:val="center"/>
          </w:tcPr>
          <w:p>
            <w:pPr>
              <w:pStyle w:val="28"/>
              <w:ind w:left="0" w:leftChars="0" w:firstLine="0" w:firstLineChars="0"/>
              <w:rPr>
                <w:rFonts w:hint="eastAsia" w:asciiTheme="minorEastAsia" w:hAnsiTheme="minorEastAsia" w:eastAsiaTheme="minorEastAsia" w:cstheme="minorEastAsia"/>
                <w:b w:val="0"/>
                <w:bCs w:val="0"/>
                <w:color w:val="000000"/>
                <w:kern w:val="0"/>
                <w:sz w:val="21"/>
                <w:szCs w:val="21"/>
                <w:lang w:val="en-US" w:eastAsia="zh-CN" w:bidi="ar"/>
              </w:rPr>
            </w:pPr>
            <w:r>
              <w:rPr>
                <w:rFonts w:hint="eastAsia" w:asciiTheme="minorEastAsia" w:hAnsiTheme="minorEastAsia" w:eastAsiaTheme="minorEastAsia" w:cstheme="minorEastAsia"/>
                <w:sz w:val="21"/>
                <w:szCs w:val="21"/>
                <w:lang w:val="en-US" w:eastAsia="zh-CN"/>
              </w:rPr>
              <w:t>由于无养殖废水排放，原污水处理设施进行了</w:t>
            </w:r>
            <w:r>
              <w:rPr>
                <w:rFonts w:hint="eastAsia" w:asciiTheme="minorEastAsia" w:hAnsiTheme="minorEastAsia" w:eastAsiaTheme="minorEastAsia" w:cstheme="minorEastAsia"/>
                <w:b w:val="0"/>
                <w:bCs w:val="0"/>
                <w:color w:val="000000"/>
                <w:kern w:val="0"/>
                <w:sz w:val="21"/>
                <w:szCs w:val="21"/>
                <w:lang w:val="en-US" w:eastAsia="zh-CN" w:bidi="ar"/>
              </w:rPr>
              <w:t>变更，无沼气产生。</w:t>
            </w:r>
          </w:p>
          <w:p>
            <w:pPr>
              <w:autoSpaceDE w:val="0"/>
              <w:autoSpaceDN w:val="0"/>
              <w:adjustRightInd w:val="0"/>
              <w:spacing w:line="240" w:lineRule="auto"/>
              <w:ind w:firstLine="0" w:firstLineChars="0"/>
              <w:jc w:val="both"/>
              <w:rPr>
                <w:rFonts w:hint="default" w:ascii="宋体" w:hAnsi="宋体" w:eastAsia="宋体" w:cs="宋体"/>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食堂油烟</w:t>
            </w:r>
          </w:p>
        </w:tc>
        <w:tc>
          <w:tcPr>
            <w:tcW w:w="2865" w:type="dxa"/>
            <w:vAlign w:val="center"/>
          </w:tcPr>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p>
        </w:tc>
        <w:tc>
          <w:tcPr>
            <w:tcW w:w="2207" w:type="dxa"/>
            <w:vAlign w:val="center"/>
          </w:tcPr>
          <w:p>
            <w:pPr>
              <w:autoSpaceDE w:val="0"/>
              <w:autoSpaceDN w:val="0"/>
              <w:adjustRightInd w:val="0"/>
              <w:spacing w:line="240" w:lineRule="auto"/>
              <w:ind w:firstLine="0" w:firstLineChars="0"/>
              <w:rPr>
                <w:rFonts w:hint="default" w:ascii="宋体" w:hAnsi="宋体" w:eastAsia="宋体" w:cs="宋体"/>
                <w:lang w:val="en-US" w:eastAsia="zh-CN"/>
              </w:rPr>
            </w:pPr>
            <w:r>
              <w:rPr>
                <w:rFonts w:hint="eastAsia" w:ascii="宋体" w:hAnsi="宋体" w:eastAsia="宋体" w:cs="宋体"/>
                <w:sz w:val="21"/>
                <w:szCs w:val="21"/>
                <w:lang w:val="en-US" w:eastAsia="zh-CN"/>
              </w:rPr>
              <w:t>一期项目因人员较少</w:t>
            </w:r>
          </w:p>
        </w:tc>
        <w:tc>
          <w:tcPr>
            <w:tcW w:w="1611" w:type="dxa"/>
            <w:vAlign w:val="center"/>
          </w:tcPr>
          <w:p>
            <w:pPr>
              <w:autoSpaceDE w:val="0"/>
              <w:autoSpaceDN w:val="0"/>
              <w:adjustRightInd w:val="0"/>
              <w:spacing w:line="240" w:lineRule="auto"/>
              <w:ind w:firstLine="0" w:firstLineChars="0"/>
              <w:jc w:val="center"/>
              <w:rPr>
                <w:rFonts w:hint="default" w:ascii="宋体" w:hAnsi="宋体" w:eastAsia="宋体" w:cs="宋体"/>
                <w:lang w:val="en-US" w:eastAsia="zh-CN"/>
              </w:rPr>
            </w:pPr>
            <w:r>
              <w:rPr>
                <w:rFonts w:hint="eastAsia" w:ascii="宋体" w:hAnsi="宋体" w:eastAsia="宋体" w:cs="宋体"/>
                <w:lang w:val="en-US" w:eastAsia="zh-CN"/>
              </w:rPr>
              <w:t>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污水处理站</w:t>
            </w:r>
          </w:p>
        </w:tc>
        <w:tc>
          <w:tcPr>
            <w:tcW w:w="286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1 套，采用预固液分离预处理+厌氧发酵+生化处理，设计处理能力为 100m</w:t>
            </w:r>
            <w:r>
              <w:rPr>
                <w:rFonts w:hint="eastAsia" w:asciiTheme="minorEastAsia" w:hAnsiTheme="minorEastAsia" w:eastAsiaTheme="minorEastAsia" w:cstheme="minorEastAsia"/>
                <w:color w:val="000000"/>
                <w:kern w:val="0"/>
                <w:sz w:val="21"/>
                <w:szCs w:val="21"/>
                <w:vertAlign w:val="superscript"/>
                <w:lang w:val="en-US" w:eastAsia="zh-CN" w:bidi="ar"/>
              </w:rPr>
              <w:t>3</w:t>
            </w:r>
            <w:r>
              <w:rPr>
                <w:rFonts w:hint="eastAsia" w:asciiTheme="minorEastAsia" w:hAnsiTheme="minorEastAsia" w:eastAsiaTheme="minorEastAsia" w:cstheme="minorEastAsia"/>
                <w:color w:val="000000"/>
                <w:kern w:val="0"/>
                <w:sz w:val="21"/>
                <w:szCs w:val="21"/>
                <w:lang w:val="en-US" w:eastAsia="zh-CN" w:bidi="ar"/>
              </w:rPr>
              <w:t xml:space="preserve"> /d</w:t>
            </w:r>
          </w:p>
        </w:tc>
        <w:tc>
          <w:tcPr>
            <w:tcW w:w="2207" w:type="dxa"/>
            <w:vAlign w:val="center"/>
          </w:tcPr>
          <w:p>
            <w:pPr>
              <w:autoSpaceDE w:val="0"/>
              <w:autoSpaceDN w:val="0"/>
              <w:adjustRightInd w:val="0"/>
              <w:spacing w:line="240" w:lineRule="auto"/>
              <w:ind w:firstLine="0" w:firstLineChars="0"/>
              <w:jc w:val="center"/>
              <w:rPr>
                <w:rFonts w:hint="default" w:ascii="宋体" w:hAnsi="宋体" w:eastAsia="宋体" w:cs="宋体"/>
                <w:lang w:val="en-US" w:eastAsia="zh-CN"/>
              </w:rPr>
            </w:pPr>
            <w:r>
              <w:rPr>
                <w:rFonts w:hint="eastAsia" w:ascii="宋体" w:hAnsi="宋体" w:eastAsia="宋体" w:cs="宋体"/>
                <w:lang w:val="en-US" w:eastAsia="zh-CN"/>
              </w:rPr>
              <w:t>污水处理设施变更，暂缓建设。</w:t>
            </w:r>
          </w:p>
        </w:tc>
        <w:tc>
          <w:tcPr>
            <w:tcW w:w="1611" w:type="dxa"/>
            <w:vAlign w:val="center"/>
          </w:tcPr>
          <w:p>
            <w:pPr>
              <w:pStyle w:val="28"/>
              <w:spacing w:line="240" w:lineRule="auto"/>
              <w:ind w:left="0" w:leftChars="0" w:firstLine="0" w:firstLineChars="0"/>
              <w:rPr>
                <w:rFonts w:hint="default" w:ascii="宋体" w:hAnsi="宋体" w:eastAsia="宋体" w:cs="宋体"/>
                <w:lang w:val="en-US" w:eastAsia="zh-CN"/>
              </w:rPr>
            </w:pPr>
            <w:r>
              <w:rPr>
                <w:rFonts w:hint="eastAsia" w:hAnsi="宋体" w:eastAsia="宋体" w:cs="宋体"/>
                <w:color w:val="000000"/>
                <w:kern w:val="0"/>
                <w:sz w:val="21"/>
                <w:szCs w:val="21"/>
                <w:lang w:val="en-US" w:eastAsia="zh-CN" w:bidi="ar"/>
              </w:rPr>
              <w:t>企业采用干清粪养殖工艺，饲养过程中少量的养殖废水混于牛粪和饲料残渣中</w:t>
            </w:r>
            <w:r>
              <w:rPr>
                <w:rFonts w:hint="eastAsia" w:asciiTheme="minorEastAsia" w:hAnsiTheme="minorEastAsia" w:eastAsiaTheme="minorEastAsia" w:cstheme="minorEastAsia"/>
                <w:b w:val="0"/>
                <w:bCs w:val="0"/>
                <w:color w:val="000000"/>
                <w:kern w:val="0"/>
                <w:sz w:val="21"/>
                <w:szCs w:val="21"/>
                <w:lang w:val="en-US" w:eastAsia="zh-CN" w:bidi="ar"/>
              </w:rPr>
              <w:t>、饲料残渣中一并委托进行了处理，企业因无废水排放，故企业配套的100m</w:t>
            </w:r>
            <w:r>
              <w:rPr>
                <w:rFonts w:hint="eastAsia" w:asciiTheme="minorEastAsia" w:hAnsiTheme="minorEastAsia" w:eastAsiaTheme="minorEastAsia" w:cstheme="minorEastAsia"/>
                <w:b w:val="0"/>
                <w:bCs w:val="0"/>
                <w:color w:val="000000"/>
                <w:kern w:val="0"/>
                <w:sz w:val="21"/>
                <w:szCs w:val="21"/>
                <w:vertAlign w:val="superscript"/>
                <w:lang w:val="en-US" w:eastAsia="zh-CN" w:bidi="ar"/>
              </w:rPr>
              <w:t>3</w:t>
            </w:r>
            <w:r>
              <w:rPr>
                <w:rFonts w:hint="eastAsia" w:asciiTheme="minorEastAsia" w:hAnsiTheme="minorEastAsia" w:eastAsiaTheme="minorEastAsia" w:cstheme="minorEastAsia"/>
                <w:b w:val="0"/>
                <w:bCs w:val="0"/>
                <w:color w:val="000000"/>
                <w:kern w:val="0"/>
                <w:sz w:val="21"/>
                <w:szCs w:val="21"/>
                <w:lang w:val="en-US" w:eastAsia="zh-CN" w:bidi="ar"/>
              </w:rPr>
              <w:t>/d污水处理设施目前暂缓建设。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初期雨水池</w:t>
            </w:r>
          </w:p>
        </w:tc>
        <w:tc>
          <w:tcPr>
            <w:tcW w:w="286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初期雨水池容积约为 500m</w:t>
            </w:r>
            <w:r>
              <w:rPr>
                <w:rFonts w:hint="eastAsia" w:asciiTheme="minorEastAsia" w:hAnsiTheme="minorEastAsia" w:eastAsiaTheme="minorEastAsia" w:cstheme="minorEastAsia"/>
                <w:color w:val="000000"/>
                <w:kern w:val="0"/>
                <w:sz w:val="21"/>
                <w:szCs w:val="21"/>
                <w:vertAlign w:val="superscript"/>
                <w:lang w:val="en-US" w:eastAsia="zh-CN" w:bidi="ar"/>
              </w:rPr>
              <w:t>3</w:t>
            </w:r>
          </w:p>
        </w:tc>
        <w:tc>
          <w:tcPr>
            <w:tcW w:w="2207" w:type="dxa"/>
            <w:vMerge w:val="restart"/>
            <w:vAlign w:val="center"/>
          </w:tcPr>
          <w:p>
            <w:pPr>
              <w:autoSpaceDE w:val="0"/>
              <w:autoSpaceDN w:val="0"/>
              <w:adjustRightInd w:val="0"/>
              <w:spacing w:line="240" w:lineRule="auto"/>
              <w:ind w:firstLine="0" w:firstLineChars="0"/>
              <w:rPr>
                <w:rFonts w:hint="default" w:ascii="宋体" w:hAnsi="宋体" w:eastAsia="宋体" w:cs="宋体"/>
                <w:lang w:val="en-US" w:eastAsia="zh-CN"/>
              </w:rPr>
            </w:pPr>
            <w:r>
              <w:rPr>
                <w:rFonts w:hint="eastAsia" w:ascii="宋体" w:hAnsi="宋体" w:eastAsia="宋体" w:cs="宋体"/>
                <w:sz w:val="21"/>
                <w:szCs w:val="21"/>
                <w:lang w:val="en-US" w:eastAsia="zh-CN"/>
              </w:rPr>
              <w:t>将原污水处理设施的集水池容积约为</w:t>
            </w:r>
            <w:r>
              <w:rPr>
                <w:rFonts w:hint="eastAsia" w:asciiTheme="minorEastAsia" w:hAnsiTheme="minorEastAsia" w:eastAsiaTheme="minorEastAsia" w:cstheme="minorEastAsia"/>
                <w:color w:val="000000"/>
                <w:kern w:val="0"/>
                <w:sz w:val="21"/>
                <w:szCs w:val="21"/>
                <w:lang w:val="en-US" w:eastAsia="zh-CN" w:bidi="ar"/>
              </w:rPr>
              <w:t xml:space="preserve"> </w:t>
            </w:r>
            <w:r>
              <w:rPr>
                <w:rFonts w:hint="eastAsia" w:cs="Times New Roman" w:eastAsiaTheme="minorEastAsia"/>
                <w:color w:val="000000"/>
                <w:kern w:val="0"/>
                <w:sz w:val="21"/>
                <w:szCs w:val="21"/>
                <w:lang w:val="en-US" w:eastAsia="zh-CN" w:bidi="ar"/>
              </w:rPr>
              <w:t>8000</w:t>
            </w:r>
            <w:r>
              <w:rPr>
                <w:rFonts w:hint="eastAsia" w:asciiTheme="minorEastAsia" w:hAnsiTheme="minorEastAsia" w:eastAsiaTheme="minorEastAsia" w:cstheme="minorEastAsia"/>
                <w:color w:val="000000"/>
                <w:kern w:val="0"/>
                <w:sz w:val="21"/>
                <w:szCs w:val="21"/>
                <w:lang w:val="en-US" w:eastAsia="zh-CN" w:bidi="ar"/>
              </w:rPr>
              <w:t>m</w:t>
            </w:r>
            <w:r>
              <w:rPr>
                <w:rFonts w:hint="eastAsia" w:asciiTheme="minorEastAsia" w:hAnsiTheme="minorEastAsia" w:eastAsiaTheme="minorEastAsia" w:cstheme="minorEastAsia"/>
                <w:color w:val="000000"/>
                <w:kern w:val="0"/>
                <w:sz w:val="21"/>
                <w:szCs w:val="21"/>
                <w:vertAlign w:val="superscript"/>
                <w:lang w:val="en-US" w:eastAsia="zh-CN" w:bidi="ar"/>
              </w:rPr>
              <w:t>3</w:t>
            </w:r>
            <w:r>
              <w:rPr>
                <w:rFonts w:hint="eastAsia" w:asciiTheme="minorEastAsia" w:hAnsiTheme="minorEastAsia" w:eastAsiaTheme="minorEastAsia" w:cstheme="minorEastAsia"/>
                <w:color w:val="000000"/>
                <w:kern w:val="0"/>
                <w:sz w:val="21"/>
                <w:szCs w:val="21"/>
                <w:lang w:val="en-US" w:eastAsia="zh-CN" w:bidi="ar"/>
              </w:rPr>
              <w:t>变更为初期雨水和应急贮存池。</w:t>
            </w:r>
          </w:p>
        </w:tc>
        <w:tc>
          <w:tcPr>
            <w:tcW w:w="1611" w:type="dxa"/>
            <w:vMerge w:val="restart"/>
            <w:vAlign w:val="center"/>
          </w:tcPr>
          <w:p>
            <w:pPr>
              <w:autoSpaceDE w:val="0"/>
              <w:autoSpaceDN w:val="0"/>
              <w:adjustRightInd w:val="0"/>
              <w:spacing w:line="240" w:lineRule="auto"/>
              <w:ind w:firstLine="0" w:firstLineChars="0"/>
              <w:jc w:val="both"/>
              <w:rPr>
                <w:rFonts w:hint="default" w:ascii="宋体" w:hAnsi="宋体" w:eastAsia="宋体" w:cs="宋体"/>
                <w:lang w:val="en-US" w:eastAsia="zh-CN"/>
              </w:rPr>
            </w:pPr>
            <w:r>
              <w:rPr>
                <w:rFonts w:hint="eastAsia" w:ascii="宋体" w:hAnsi="宋体" w:eastAsia="宋体" w:cs="宋体"/>
                <w:color w:val="auto"/>
                <w:sz w:val="21"/>
                <w:szCs w:val="21"/>
                <w:lang w:val="en-US" w:eastAsia="zh-CN"/>
              </w:rPr>
              <w:t>因原污水处理设施暂缓建设，故将原污水处理集水池变更为</w:t>
            </w:r>
            <w:r>
              <w:rPr>
                <w:rFonts w:hint="eastAsia" w:asciiTheme="minorEastAsia" w:hAnsiTheme="minorEastAsia" w:eastAsiaTheme="minorEastAsia" w:cstheme="minorEastAsia"/>
                <w:color w:val="auto"/>
                <w:kern w:val="0"/>
                <w:sz w:val="21"/>
                <w:szCs w:val="21"/>
                <w:lang w:val="en-US" w:eastAsia="zh-CN" w:bidi="ar"/>
              </w:rPr>
              <w:t>初期雨水和应急贮存池。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应急贮存池</w:t>
            </w:r>
          </w:p>
        </w:tc>
        <w:tc>
          <w:tcPr>
            <w:tcW w:w="2865" w:type="dxa"/>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sz w:val="21"/>
                <w:szCs w:val="21"/>
                <w:vertAlign w:val="superscript"/>
              </w:rPr>
            </w:pPr>
            <w:r>
              <w:rPr>
                <w:rFonts w:hint="eastAsia" w:asciiTheme="minorEastAsia" w:hAnsiTheme="minorEastAsia" w:eastAsiaTheme="minorEastAsia" w:cstheme="minorEastAsia"/>
                <w:color w:val="000000"/>
                <w:kern w:val="0"/>
                <w:sz w:val="21"/>
                <w:szCs w:val="21"/>
                <w:lang w:val="en-US" w:eastAsia="zh-CN" w:bidi="ar"/>
              </w:rPr>
              <w:t>容积 4666 m</w:t>
            </w:r>
            <w:r>
              <w:rPr>
                <w:rFonts w:hint="eastAsia" w:asciiTheme="minorEastAsia" w:hAnsiTheme="minorEastAsia" w:eastAsiaTheme="minorEastAsia" w:cstheme="minorEastAsia"/>
                <w:color w:val="000000"/>
                <w:kern w:val="0"/>
                <w:sz w:val="21"/>
                <w:szCs w:val="21"/>
                <w:vertAlign w:val="superscript"/>
                <w:lang w:val="en-US" w:eastAsia="zh-CN" w:bidi="ar"/>
              </w:rPr>
              <w:t>3</w:t>
            </w:r>
          </w:p>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p>
        </w:tc>
        <w:tc>
          <w:tcPr>
            <w:tcW w:w="2207" w:type="dxa"/>
            <w:vMerge w:val="continue"/>
            <w:vAlign w:val="center"/>
          </w:tcPr>
          <w:p>
            <w:pPr>
              <w:autoSpaceDE w:val="0"/>
              <w:autoSpaceDN w:val="0"/>
              <w:adjustRightInd w:val="0"/>
              <w:spacing w:line="240" w:lineRule="auto"/>
              <w:ind w:firstLine="0" w:firstLineChars="0"/>
              <w:rPr>
                <w:rFonts w:ascii="宋体" w:hAnsi="宋体" w:eastAsia="宋体" w:cs="宋体"/>
              </w:rPr>
            </w:pPr>
          </w:p>
        </w:tc>
        <w:tc>
          <w:tcPr>
            <w:tcW w:w="1611" w:type="dxa"/>
            <w:vMerge w:val="continue"/>
            <w:vAlign w:val="center"/>
          </w:tcPr>
          <w:p>
            <w:pPr>
              <w:autoSpaceDE w:val="0"/>
              <w:autoSpaceDN w:val="0"/>
              <w:adjustRightInd w:val="0"/>
              <w:spacing w:line="240" w:lineRule="auto"/>
              <w:ind w:firstLine="0" w:firstLineChars="0"/>
              <w:jc w:val="center"/>
              <w:rPr>
                <w:rFonts w:ascii="宋体" w:hAnsi="宋体" w:eastAsia="宋体" w:cs="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restart"/>
            <w:vAlign w:val="center"/>
          </w:tcPr>
          <w:p>
            <w:pPr>
              <w:autoSpaceDE w:val="0"/>
              <w:autoSpaceDN w:val="0"/>
              <w:adjustRightInd w:val="0"/>
              <w:spacing w:line="240" w:lineRule="auto"/>
              <w:ind w:firstLine="0" w:firstLineChars="0"/>
              <w:jc w:val="center"/>
              <w:rPr>
                <w:rFonts w:hint="eastAsia" w:ascii="宋体" w:hAnsi="宋体" w:eastAsia="宋体" w:cs="宋体"/>
                <w:b/>
                <w:lang w:val="en-US" w:eastAsia="zh-CN"/>
              </w:rPr>
            </w:pPr>
            <w:r>
              <w:rPr>
                <w:rFonts w:hint="eastAsia" w:ascii="宋体" w:hAnsi="宋体" w:eastAsia="宋体" w:cs="宋体"/>
                <w:b/>
                <w:lang w:val="en-US" w:eastAsia="zh-CN"/>
              </w:rPr>
              <w:t>固废</w:t>
            </w:r>
          </w:p>
        </w:tc>
        <w:tc>
          <w:tcPr>
            <w:tcW w:w="108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病死牛冷藏间</w:t>
            </w:r>
          </w:p>
        </w:tc>
        <w:tc>
          <w:tcPr>
            <w:tcW w:w="286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1 间，容积 10m</w:t>
            </w:r>
            <w:r>
              <w:rPr>
                <w:rFonts w:hint="eastAsia" w:asciiTheme="minorEastAsia" w:hAnsiTheme="minorEastAsia" w:eastAsiaTheme="minorEastAsia" w:cstheme="minorEastAsia"/>
                <w:color w:val="000000"/>
                <w:kern w:val="0"/>
                <w:sz w:val="21"/>
                <w:szCs w:val="21"/>
                <w:vertAlign w:val="superscript"/>
                <w:lang w:val="en-US" w:eastAsia="zh-CN" w:bidi="ar"/>
              </w:rPr>
              <w:t>3</w:t>
            </w:r>
            <w:r>
              <w:rPr>
                <w:rFonts w:hint="eastAsia" w:asciiTheme="minorEastAsia" w:hAnsiTheme="minorEastAsia" w:eastAsiaTheme="minorEastAsia" w:cstheme="minorEastAsia"/>
                <w:color w:val="000000"/>
                <w:kern w:val="0"/>
                <w:sz w:val="21"/>
                <w:szCs w:val="21"/>
                <w:lang w:val="en-US" w:eastAsia="zh-CN" w:bidi="ar"/>
              </w:rPr>
              <w:t>位于厂区污水处理设施附近</w:t>
            </w:r>
          </w:p>
        </w:tc>
        <w:tc>
          <w:tcPr>
            <w:tcW w:w="2207" w:type="dxa"/>
            <w:vAlign w:val="center"/>
          </w:tcPr>
          <w:p>
            <w:pPr>
              <w:autoSpaceDE w:val="0"/>
              <w:autoSpaceDN w:val="0"/>
              <w:adjustRightInd w:val="0"/>
              <w:spacing w:line="240" w:lineRule="auto"/>
              <w:ind w:firstLine="0" w:firstLineChars="0"/>
              <w:rPr>
                <w:rFonts w:hint="eastAsia" w:ascii="宋体" w:hAnsi="宋体" w:eastAsia="宋体" w:cs="宋体"/>
                <w:lang w:val="en-US" w:eastAsia="zh-CN"/>
              </w:rPr>
            </w:pPr>
            <w:r>
              <w:rPr>
                <w:rFonts w:hint="eastAsia" w:ascii="宋体" w:hAnsi="宋体" w:eastAsia="宋体" w:cs="宋体"/>
                <w:sz w:val="21"/>
                <w:szCs w:val="21"/>
                <w:lang w:val="en-US" w:eastAsia="zh-CN"/>
              </w:rPr>
              <w:t>公司建有25</w:t>
            </w:r>
            <w:r>
              <w:rPr>
                <w:rFonts w:hint="eastAsia" w:asciiTheme="minorEastAsia" w:hAnsiTheme="minorEastAsia" w:eastAsiaTheme="minorEastAsia" w:cstheme="minorEastAsia"/>
                <w:sz w:val="21"/>
                <w:szCs w:val="21"/>
                <w:vertAlign w:val="baseline"/>
                <w:lang w:val="en-US" w:eastAsia="zh-CN"/>
              </w:rPr>
              <w:t>m</w:t>
            </w:r>
            <w:r>
              <w:rPr>
                <w:rFonts w:hint="eastAsia" w:asciiTheme="minorEastAsia" w:hAnsiTheme="minorEastAsia" w:eastAsiaTheme="minorEastAsia" w:cstheme="minorEastAsia"/>
                <w:sz w:val="21"/>
                <w:szCs w:val="21"/>
                <w:vertAlign w:val="superscript"/>
                <w:lang w:val="en-US" w:eastAsia="zh-CN"/>
              </w:rPr>
              <w:t>2</w:t>
            </w:r>
            <w:r>
              <w:rPr>
                <w:rFonts w:hint="eastAsia" w:asciiTheme="minorEastAsia" w:hAnsiTheme="minorEastAsia" w:eastAsiaTheme="minorEastAsia" w:cstheme="minorEastAsia"/>
                <w:sz w:val="21"/>
                <w:szCs w:val="21"/>
                <w:vertAlign w:val="baseline"/>
                <w:lang w:val="en-US" w:eastAsia="zh-CN"/>
              </w:rPr>
              <w:t>的</w:t>
            </w:r>
            <w:r>
              <w:rPr>
                <w:rFonts w:hint="eastAsia" w:asciiTheme="minorEastAsia" w:hAnsiTheme="minorEastAsia" w:eastAsiaTheme="minorEastAsia" w:cstheme="minorEastAsia"/>
                <w:color w:val="000000"/>
                <w:kern w:val="0"/>
                <w:sz w:val="21"/>
                <w:szCs w:val="21"/>
                <w:lang w:val="en-US" w:eastAsia="zh-CN" w:bidi="ar"/>
              </w:rPr>
              <w:t>病死牛冷藏间</w:t>
            </w:r>
            <w:r>
              <w:rPr>
                <w:rFonts w:hint="eastAsia" w:ascii="宋体" w:hAnsi="宋体" w:eastAsia="宋体" w:cs="宋体"/>
                <w:lang w:val="en-US" w:eastAsia="zh-CN"/>
              </w:rPr>
              <w:t>。</w:t>
            </w:r>
          </w:p>
        </w:tc>
        <w:tc>
          <w:tcPr>
            <w:tcW w:w="1611" w:type="dxa"/>
            <w:vAlign w:val="center"/>
          </w:tcPr>
          <w:p>
            <w:pPr>
              <w:autoSpaceDE w:val="0"/>
              <w:autoSpaceDN w:val="0"/>
              <w:adjustRightInd w:val="0"/>
              <w:spacing w:line="240" w:lineRule="auto"/>
              <w:ind w:firstLine="0" w:firstLineChars="0"/>
              <w:jc w:val="center"/>
              <w:rPr>
                <w:rFonts w:hint="eastAsia" w:ascii="宋体" w:hAnsi="宋体" w:eastAsia="宋体" w:cs="宋体"/>
                <w:lang w:val="en-US" w:eastAsia="zh-CN"/>
              </w:rPr>
            </w:pPr>
            <w:r>
              <w:rPr>
                <w:rFonts w:hint="eastAsia" w:ascii="宋体" w:hAnsi="宋体" w:eastAsia="宋体" w:cs="宋体"/>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危险废物仓库</w:t>
            </w:r>
          </w:p>
        </w:tc>
        <w:tc>
          <w:tcPr>
            <w:tcW w:w="2865" w:type="dxa"/>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1 间，占地面积 10m</w:t>
            </w:r>
            <w:r>
              <w:rPr>
                <w:rFonts w:hint="eastAsia" w:asciiTheme="minorEastAsia" w:hAnsiTheme="minorEastAsia" w:eastAsiaTheme="minorEastAsia" w:cstheme="minorEastAsia"/>
                <w:color w:val="000000"/>
                <w:kern w:val="0"/>
                <w:sz w:val="21"/>
                <w:szCs w:val="21"/>
                <w:vertAlign w:val="superscript"/>
                <w:lang w:val="en-US" w:eastAsia="zh-CN" w:bidi="ar"/>
              </w:rPr>
              <w:t>2</w:t>
            </w:r>
          </w:p>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p>
        </w:tc>
        <w:tc>
          <w:tcPr>
            <w:tcW w:w="2207" w:type="dxa"/>
            <w:vAlign w:val="center"/>
          </w:tcPr>
          <w:p>
            <w:pPr>
              <w:autoSpaceDE w:val="0"/>
              <w:autoSpaceDN w:val="0"/>
              <w:adjustRightInd w:val="0"/>
              <w:spacing w:line="240" w:lineRule="auto"/>
              <w:ind w:firstLine="0" w:firstLineChars="0"/>
              <w:rPr>
                <w:rFonts w:ascii="宋体" w:hAnsi="宋体" w:eastAsia="宋体" w:cs="宋体"/>
              </w:rPr>
            </w:pPr>
            <w:r>
              <w:rPr>
                <w:rFonts w:hint="eastAsia" w:ascii="宋体" w:hAnsi="宋体" w:eastAsia="宋体" w:cs="宋体"/>
                <w:sz w:val="21"/>
                <w:szCs w:val="21"/>
                <w:lang w:val="en-US" w:eastAsia="zh-CN"/>
              </w:rPr>
              <w:t>公司建有18</w:t>
            </w:r>
            <w:r>
              <w:rPr>
                <w:rFonts w:hint="eastAsia" w:asciiTheme="minorEastAsia" w:hAnsiTheme="minorEastAsia" w:eastAsiaTheme="minorEastAsia" w:cstheme="minorEastAsia"/>
                <w:sz w:val="21"/>
                <w:szCs w:val="21"/>
                <w:vertAlign w:val="baseline"/>
                <w:lang w:val="en-US" w:eastAsia="zh-CN"/>
              </w:rPr>
              <w:t>m</w:t>
            </w:r>
            <w:r>
              <w:rPr>
                <w:rFonts w:hint="eastAsia" w:asciiTheme="minorEastAsia" w:hAnsiTheme="minorEastAsia" w:eastAsiaTheme="minorEastAsia" w:cstheme="minorEastAsia"/>
                <w:sz w:val="21"/>
                <w:szCs w:val="21"/>
                <w:vertAlign w:val="superscript"/>
                <w:lang w:val="en-US" w:eastAsia="zh-CN"/>
              </w:rPr>
              <w:t>2</w:t>
            </w:r>
            <w:r>
              <w:rPr>
                <w:rFonts w:hint="eastAsia" w:asciiTheme="minorEastAsia" w:hAnsiTheme="minorEastAsia" w:eastAsiaTheme="minorEastAsia" w:cstheme="minorEastAsia"/>
                <w:sz w:val="21"/>
                <w:szCs w:val="21"/>
                <w:vertAlign w:val="baseline"/>
                <w:lang w:val="en-US" w:eastAsia="zh-CN"/>
              </w:rPr>
              <w:t>的</w:t>
            </w:r>
            <w:r>
              <w:rPr>
                <w:rFonts w:hint="eastAsia" w:asciiTheme="minorEastAsia" w:hAnsiTheme="minorEastAsia" w:eastAsiaTheme="minorEastAsia" w:cstheme="minorEastAsia"/>
                <w:color w:val="000000"/>
                <w:kern w:val="0"/>
                <w:sz w:val="21"/>
                <w:szCs w:val="21"/>
                <w:lang w:val="en-US" w:eastAsia="zh-CN" w:bidi="ar"/>
              </w:rPr>
              <w:t>病死牛冷藏间</w:t>
            </w:r>
            <w:r>
              <w:rPr>
                <w:rFonts w:hint="eastAsia" w:ascii="宋体" w:hAnsi="宋体" w:eastAsia="宋体" w:cs="宋体"/>
                <w:lang w:val="en-US" w:eastAsia="zh-CN"/>
              </w:rPr>
              <w:t>。</w:t>
            </w:r>
          </w:p>
        </w:tc>
        <w:tc>
          <w:tcPr>
            <w:tcW w:w="1611" w:type="dxa"/>
            <w:vAlign w:val="center"/>
          </w:tcPr>
          <w:p>
            <w:pPr>
              <w:autoSpaceDE w:val="0"/>
              <w:autoSpaceDN w:val="0"/>
              <w:adjustRightInd w:val="0"/>
              <w:spacing w:line="240" w:lineRule="auto"/>
              <w:ind w:firstLine="0" w:firstLineChars="0"/>
              <w:jc w:val="center"/>
              <w:rPr>
                <w:rFonts w:hint="eastAsia" w:ascii="宋体" w:hAnsi="宋体" w:eastAsia="宋体" w:cs="宋体"/>
                <w:lang w:val="en-US" w:eastAsia="zh-CN"/>
              </w:rPr>
            </w:pPr>
            <w:r>
              <w:rPr>
                <w:rFonts w:hint="eastAsia" w:ascii="宋体" w:hAnsi="宋体" w:eastAsia="宋体" w:cs="宋体"/>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一般固废暂存间</w:t>
            </w:r>
          </w:p>
        </w:tc>
        <w:tc>
          <w:tcPr>
            <w:tcW w:w="2865" w:type="dxa"/>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位于办公区西北侧</w:t>
            </w:r>
          </w:p>
          <w:p>
            <w:pPr>
              <w:autoSpaceDE w:val="0"/>
              <w:autoSpaceDN w:val="0"/>
              <w:adjustRightInd w:val="0"/>
              <w:spacing w:line="240" w:lineRule="auto"/>
              <w:ind w:firstLine="0" w:firstLineChars="0"/>
              <w:jc w:val="center"/>
              <w:rPr>
                <w:rFonts w:hint="eastAsia" w:asciiTheme="minorEastAsia" w:hAnsiTheme="minorEastAsia" w:eastAsiaTheme="minorEastAsia" w:cstheme="minorEastAsia"/>
                <w:sz w:val="21"/>
                <w:szCs w:val="21"/>
              </w:rPr>
            </w:pPr>
          </w:p>
        </w:tc>
        <w:tc>
          <w:tcPr>
            <w:tcW w:w="2207" w:type="dxa"/>
            <w:vAlign w:val="center"/>
          </w:tcPr>
          <w:p>
            <w:pPr>
              <w:autoSpaceDE w:val="0"/>
              <w:autoSpaceDN w:val="0"/>
              <w:adjustRightInd w:val="0"/>
              <w:spacing w:line="240" w:lineRule="auto"/>
              <w:ind w:firstLine="0" w:firstLineChars="0"/>
              <w:rPr>
                <w:rFonts w:ascii="宋体" w:hAnsi="宋体" w:eastAsia="宋体" w:cs="宋体"/>
              </w:rPr>
            </w:pPr>
            <w:r>
              <w:rPr>
                <w:rFonts w:hint="eastAsia" w:ascii="宋体" w:hAnsi="宋体" w:eastAsia="宋体" w:cs="宋体"/>
                <w:lang w:val="en-US" w:eastAsia="zh-CN"/>
              </w:rPr>
              <w:t>与环评设计基本相符，已建设。</w:t>
            </w:r>
          </w:p>
        </w:tc>
        <w:tc>
          <w:tcPr>
            <w:tcW w:w="1611" w:type="dxa"/>
            <w:vAlign w:val="center"/>
          </w:tcPr>
          <w:p>
            <w:pPr>
              <w:autoSpaceDE w:val="0"/>
              <w:autoSpaceDN w:val="0"/>
              <w:adjustRightInd w:val="0"/>
              <w:spacing w:line="240" w:lineRule="auto"/>
              <w:ind w:firstLine="0" w:firstLineChars="0"/>
              <w:jc w:val="center"/>
              <w:rPr>
                <w:rFonts w:hint="eastAsia" w:ascii="宋体" w:hAnsi="宋体" w:eastAsia="宋体" w:cs="宋体"/>
                <w:lang w:val="en-US" w:eastAsia="zh-CN"/>
              </w:rPr>
            </w:pPr>
            <w:r>
              <w:rPr>
                <w:rFonts w:hint="eastAsia" w:ascii="宋体" w:hAnsi="宋体" w:eastAsia="宋体" w:cs="宋体"/>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54" w:type="dxa"/>
            <w:vMerge w:val="continue"/>
            <w:vAlign w:val="center"/>
          </w:tcPr>
          <w:p>
            <w:pPr>
              <w:autoSpaceDE w:val="0"/>
              <w:autoSpaceDN w:val="0"/>
              <w:adjustRightInd w:val="0"/>
              <w:spacing w:line="240" w:lineRule="auto"/>
              <w:ind w:firstLine="0" w:firstLineChars="0"/>
              <w:jc w:val="center"/>
              <w:rPr>
                <w:rFonts w:hint="eastAsia" w:ascii="宋体" w:hAnsi="宋体" w:eastAsia="宋体" w:cs="宋体"/>
                <w:b/>
              </w:rPr>
            </w:pPr>
          </w:p>
        </w:tc>
        <w:tc>
          <w:tcPr>
            <w:tcW w:w="108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医疗废物仓库</w:t>
            </w:r>
          </w:p>
        </w:tc>
        <w:tc>
          <w:tcPr>
            <w:tcW w:w="286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1 间，位于兽医室区域，占地面积 10m</w:t>
            </w:r>
            <w:r>
              <w:rPr>
                <w:rFonts w:hint="eastAsia" w:asciiTheme="minorEastAsia" w:hAnsiTheme="minorEastAsia" w:eastAsiaTheme="minorEastAsia" w:cstheme="minorEastAsia"/>
                <w:color w:val="000000"/>
                <w:kern w:val="0"/>
                <w:sz w:val="21"/>
                <w:szCs w:val="21"/>
                <w:vertAlign w:val="superscript"/>
                <w:lang w:val="en-US" w:eastAsia="zh-CN" w:bidi="ar"/>
              </w:rPr>
              <w:t>2</w:t>
            </w:r>
          </w:p>
        </w:tc>
        <w:tc>
          <w:tcPr>
            <w:tcW w:w="2207" w:type="dxa"/>
            <w:vAlign w:val="center"/>
          </w:tcPr>
          <w:p>
            <w:pPr>
              <w:autoSpaceDE w:val="0"/>
              <w:autoSpaceDN w:val="0"/>
              <w:adjustRightInd w:val="0"/>
              <w:spacing w:line="240" w:lineRule="auto"/>
              <w:ind w:firstLine="0" w:firstLineChars="0"/>
              <w:rPr>
                <w:rFonts w:ascii="宋体" w:hAnsi="宋体" w:eastAsia="宋体" w:cs="宋体"/>
              </w:rPr>
            </w:pPr>
            <w:r>
              <w:rPr>
                <w:rFonts w:hint="eastAsia" w:ascii="宋体" w:hAnsi="宋体" w:eastAsia="宋体" w:cs="宋体"/>
                <w:sz w:val="21"/>
                <w:szCs w:val="21"/>
                <w:lang w:val="en-US" w:eastAsia="zh-CN"/>
              </w:rPr>
              <w:t>公司建有18</w:t>
            </w:r>
            <w:r>
              <w:rPr>
                <w:rFonts w:hint="eastAsia" w:asciiTheme="minorEastAsia" w:hAnsiTheme="minorEastAsia" w:eastAsiaTheme="minorEastAsia" w:cstheme="minorEastAsia"/>
                <w:sz w:val="21"/>
                <w:szCs w:val="21"/>
                <w:vertAlign w:val="baseline"/>
                <w:lang w:val="en-US" w:eastAsia="zh-CN"/>
              </w:rPr>
              <w:t>m</w:t>
            </w:r>
            <w:r>
              <w:rPr>
                <w:rFonts w:hint="eastAsia" w:asciiTheme="minorEastAsia" w:hAnsiTheme="minorEastAsia" w:eastAsiaTheme="minorEastAsia" w:cstheme="minorEastAsia"/>
                <w:sz w:val="21"/>
                <w:szCs w:val="21"/>
                <w:vertAlign w:val="superscript"/>
                <w:lang w:val="en-US" w:eastAsia="zh-CN"/>
              </w:rPr>
              <w:t>2</w:t>
            </w:r>
            <w:r>
              <w:rPr>
                <w:rFonts w:hint="eastAsia" w:asciiTheme="minorEastAsia" w:hAnsiTheme="minorEastAsia" w:eastAsiaTheme="minorEastAsia" w:cstheme="minorEastAsia"/>
                <w:sz w:val="21"/>
                <w:szCs w:val="21"/>
                <w:vertAlign w:val="baseline"/>
                <w:lang w:val="en-US" w:eastAsia="zh-CN"/>
              </w:rPr>
              <w:t>的</w:t>
            </w:r>
            <w:r>
              <w:rPr>
                <w:rFonts w:hint="eastAsia" w:asciiTheme="minorEastAsia" w:hAnsiTheme="minorEastAsia" w:eastAsiaTheme="minorEastAsia" w:cstheme="minorEastAsia"/>
                <w:color w:val="000000"/>
                <w:kern w:val="0"/>
                <w:sz w:val="21"/>
                <w:szCs w:val="21"/>
                <w:lang w:val="en-US" w:eastAsia="zh-CN" w:bidi="ar"/>
              </w:rPr>
              <w:t>医疗废物仓库</w:t>
            </w:r>
            <w:r>
              <w:rPr>
                <w:rFonts w:hint="eastAsia" w:ascii="宋体" w:hAnsi="宋体" w:eastAsia="宋体" w:cs="宋体"/>
                <w:lang w:val="en-US" w:eastAsia="zh-CN"/>
              </w:rPr>
              <w:t>。</w:t>
            </w:r>
          </w:p>
        </w:tc>
        <w:tc>
          <w:tcPr>
            <w:tcW w:w="1611" w:type="dxa"/>
            <w:vAlign w:val="center"/>
          </w:tcPr>
          <w:p>
            <w:pPr>
              <w:autoSpaceDE w:val="0"/>
              <w:autoSpaceDN w:val="0"/>
              <w:adjustRightInd w:val="0"/>
              <w:spacing w:line="240" w:lineRule="auto"/>
              <w:ind w:firstLine="0" w:firstLineChars="0"/>
              <w:jc w:val="center"/>
              <w:rPr>
                <w:rFonts w:hint="eastAsia" w:ascii="宋体" w:hAnsi="宋体" w:eastAsia="宋体" w:cs="宋体"/>
                <w:lang w:val="en-US" w:eastAsia="zh-CN"/>
              </w:rPr>
            </w:pPr>
            <w:r>
              <w:rPr>
                <w:rFonts w:hint="eastAsia" w:ascii="宋体" w:hAnsi="宋体" w:eastAsia="宋体" w:cs="宋体"/>
                <w:lang w:val="en-US" w:eastAsia="zh-CN"/>
              </w:rPr>
              <w:t>/</w:t>
            </w:r>
          </w:p>
        </w:tc>
      </w:tr>
    </w:tbl>
    <w:p>
      <w:pPr>
        <w:pStyle w:val="5"/>
        <w:spacing w:line="360" w:lineRule="auto"/>
        <w:outlineLvl w:val="9"/>
        <w:rPr>
          <w:rFonts w:hint="eastAsia" w:ascii="宋体" w:hAnsi="宋体" w:eastAsia="宋体" w:cs="宋体"/>
        </w:rPr>
      </w:pPr>
      <w:bookmarkStart w:id="68" w:name="_Toc59001904"/>
      <w:bookmarkStart w:id="69" w:name="_Toc18402"/>
      <w:bookmarkStart w:id="70" w:name="_Toc9466"/>
      <w:bookmarkStart w:id="71" w:name="_Toc239"/>
      <w:bookmarkStart w:id="72" w:name="_Toc18707"/>
      <w:bookmarkStart w:id="73" w:name="_Toc11828"/>
      <w:bookmarkStart w:id="74" w:name="_Toc5429"/>
    </w:p>
    <w:p>
      <w:pPr>
        <w:pStyle w:val="5"/>
        <w:spacing w:line="360" w:lineRule="auto"/>
        <w:outlineLvl w:val="9"/>
        <w:rPr>
          <w:rFonts w:hint="eastAsia" w:ascii="宋体" w:hAnsi="宋体" w:eastAsia="宋体" w:cs="宋体"/>
          <w:lang w:eastAsia="zh-CN"/>
        </w:rPr>
      </w:pPr>
      <w:r>
        <w:rPr>
          <w:rFonts w:hint="eastAsia"/>
          <w:lang w:val="en-US" w:eastAsia="zh-CN"/>
        </w:rPr>
        <w:drawing>
          <wp:anchor distT="0" distB="0" distL="114300" distR="114300" simplePos="0" relativeHeight="251677696" behindDoc="0" locked="0" layoutInCell="1" allowOverlap="1">
            <wp:simplePos x="0" y="0"/>
            <wp:positionH relativeFrom="column">
              <wp:posOffset>187960</wp:posOffset>
            </wp:positionH>
            <wp:positionV relativeFrom="paragraph">
              <wp:posOffset>-219075</wp:posOffset>
            </wp:positionV>
            <wp:extent cx="4893945" cy="2456180"/>
            <wp:effectExtent l="0" t="0" r="1905" b="1270"/>
            <wp:wrapNone/>
            <wp:docPr id="15" name="图片 15" descr="3e9752d3ea684991fef86a43612b0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3e9752d3ea684991fef86a43612b03d"/>
                    <pic:cNvPicPr>
                      <a:picLocks noChangeAspect="1"/>
                    </pic:cNvPicPr>
                  </pic:nvPicPr>
                  <pic:blipFill>
                    <a:blip r:embed="rId12"/>
                    <a:stretch>
                      <a:fillRect/>
                    </a:stretch>
                  </pic:blipFill>
                  <pic:spPr>
                    <a:xfrm>
                      <a:off x="0" y="0"/>
                      <a:ext cx="4893945" cy="2456180"/>
                    </a:xfrm>
                    <a:prstGeom prst="rect">
                      <a:avLst/>
                    </a:prstGeom>
                  </pic:spPr>
                </pic:pic>
              </a:graphicData>
            </a:graphic>
          </wp:anchor>
        </w:drawing>
      </w:r>
    </w:p>
    <w:p>
      <w:pPr>
        <w:pStyle w:val="5"/>
        <w:spacing w:line="360" w:lineRule="auto"/>
        <w:outlineLvl w:val="9"/>
        <w:rPr>
          <w:rFonts w:hint="eastAsia" w:ascii="宋体" w:hAnsi="宋体" w:eastAsia="宋体" w:cs="宋体"/>
        </w:rPr>
      </w:pPr>
    </w:p>
    <w:p>
      <w:pPr>
        <w:pStyle w:val="5"/>
        <w:spacing w:line="360" w:lineRule="auto"/>
        <w:outlineLvl w:val="9"/>
        <w:rPr>
          <w:rFonts w:hint="eastAsia" w:ascii="宋体" w:hAnsi="宋体" w:eastAsia="宋体" w:cs="宋体"/>
        </w:rPr>
      </w:pPr>
    </w:p>
    <w:p>
      <w:pPr>
        <w:pStyle w:val="5"/>
        <w:spacing w:line="360" w:lineRule="auto"/>
        <w:outlineLvl w:val="9"/>
        <w:rPr>
          <w:rFonts w:hint="eastAsia" w:ascii="宋体" w:hAnsi="宋体" w:eastAsia="宋体" w:cs="宋体"/>
        </w:rPr>
      </w:pPr>
    </w:p>
    <w:p>
      <w:pPr>
        <w:rPr>
          <w:rFonts w:hint="eastAsia"/>
        </w:rPr>
      </w:pPr>
    </w:p>
    <w:p>
      <w:pPr>
        <w:pStyle w:val="5"/>
        <w:spacing w:line="360" w:lineRule="auto"/>
        <w:outlineLvl w:val="9"/>
        <w:rPr>
          <w:rFonts w:hint="eastAsia" w:ascii="宋体" w:hAnsi="宋体" w:eastAsia="宋体" w:cs="宋体"/>
        </w:rPr>
      </w:pPr>
    </w:p>
    <w:p>
      <w:pPr>
        <w:rPr>
          <w:rFonts w:hint="eastAsia" w:ascii="宋体" w:hAnsi="宋体" w:eastAsia="宋体" w:cs="宋体"/>
        </w:rPr>
      </w:pPr>
    </w:p>
    <w:p>
      <w:pPr>
        <w:pStyle w:val="28"/>
        <w:rPr>
          <w:rFonts w:hint="eastAsia" w:ascii="宋体" w:hAnsi="宋体" w:eastAsia="宋体" w:cs="宋体"/>
        </w:rPr>
      </w:pPr>
    </w:p>
    <w:p>
      <w:pPr>
        <w:pStyle w:val="28"/>
        <w:rPr>
          <w:rFonts w:hint="eastAsia" w:ascii="宋体" w:hAnsi="宋体" w:eastAsia="宋体" w:cs="宋体"/>
        </w:rPr>
      </w:pPr>
      <w:r>
        <w:rPr>
          <w:rFonts w:hint="eastAsia"/>
          <w:lang w:val="en-US" w:eastAsia="zh-CN"/>
        </w:rPr>
        <w:drawing>
          <wp:anchor distT="0" distB="0" distL="114300" distR="114300" simplePos="0" relativeHeight="251678720" behindDoc="0" locked="0" layoutInCell="1" allowOverlap="1">
            <wp:simplePos x="0" y="0"/>
            <wp:positionH relativeFrom="column">
              <wp:posOffset>123190</wp:posOffset>
            </wp:positionH>
            <wp:positionV relativeFrom="paragraph">
              <wp:posOffset>97790</wp:posOffset>
            </wp:positionV>
            <wp:extent cx="4941570" cy="2637155"/>
            <wp:effectExtent l="0" t="0" r="11430" b="10795"/>
            <wp:wrapNone/>
            <wp:docPr id="32" name="图片 32" descr="b40000120121aacba28343834bfb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b40000120121aacba28343834bfb053"/>
                    <pic:cNvPicPr>
                      <a:picLocks noChangeAspect="1"/>
                    </pic:cNvPicPr>
                  </pic:nvPicPr>
                  <pic:blipFill>
                    <a:blip r:embed="rId13"/>
                    <a:stretch>
                      <a:fillRect/>
                    </a:stretch>
                  </pic:blipFill>
                  <pic:spPr>
                    <a:xfrm>
                      <a:off x="0" y="0"/>
                      <a:ext cx="4941570" cy="2637155"/>
                    </a:xfrm>
                    <a:prstGeom prst="rect">
                      <a:avLst/>
                    </a:prstGeom>
                  </pic:spPr>
                </pic:pic>
              </a:graphicData>
            </a:graphic>
          </wp:anchor>
        </w:drawing>
      </w:r>
    </w:p>
    <w:p>
      <w:pPr>
        <w:pStyle w:val="28"/>
        <w:rPr>
          <w:rFonts w:hint="eastAsia" w:ascii="宋体" w:hAnsi="宋体" w:eastAsia="宋体" w:cs="宋体"/>
        </w:rPr>
      </w:pPr>
    </w:p>
    <w:p>
      <w:pPr>
        <w:pStyle w:val="28"/>
        <w:rPr>
          <w:rFonts w:hint="eastAsia" w:ascii="宋体" w:hAnsi="宋体" w:eastAsia="宋体" w:cs="宋体"/>
        </w:rPr>
      </w:pPr>
    </w:p>
    <w:p>
      <w:pPr>
        <w:pStyle w:val="28"/>
        <w:rPr>
          <w:rFonts w:hint="eastAsia" w:ascii="宋体" w:hAnsi="宋体" w:eastAsia="宋体" w:cs="宋体"/>
        </w:rPr>
      </w:pPr>
    </w:p>
    <w:p>
      <w:pPr>
        <w:pStyle w:val="28"/>
        <w:rPr>
          <w:rFonts w:hint="eastAsia" w:ascii="宋体" w:hAnsi="宋体" w:eastAsia="宋体" w:cs="宋体"/>
        </w:rPr>
      </w:pPr>
    </w:p>
    <w:p>
      <w:pPr>
        <w:pStyle w:val="28"/>
        <w:rPr>
          <w:rFonts w:hint="eastAsia" w:ascii="宋体" w:hAnsi="宋体" w:eastAsia="宋体" w:cs="宋体"/>
        </w:rPr>
      </w:pPr>
    </w:p>
    <w:p>
      <w:pPr>
        <w:pStyle w:val="28"/>
        <w:rPr>
          <w:rFonts w:hint="eastAsia" w:ascii="宋体" w:hAnsi="宋体" w:eastAsia="宋体" w:cs="宋体"/>
        </w:rPr>
      </w:pPr>
    </w:p>
    <w:p>
      <w:pPr>
        <w:pStyle w:val="28"/>
        <w:rPr>
          <w:rFonts w:hint="eastAsia" w:ascii="宋体" w:hAnsi="宋体" w:eastAsia="宋体" w:cs="宋体"/>
        </w:rPr>
      </w:pPr>
    </w:p>
    <w:p>
      <w:pPr>
        <w:pStyle w:val="28"/>
        <w:rPr>
          <w:rFonts w:hint="eastAsia" w:ascii="宋体" w:hAnsi="宋体" w:eastAsia="宋体" w:cs="宋体"/>
        </w:rPr>
      </w:pPr>
    </w:p>
    <w:p>
      <w:pPr>
        <w:pStyle w:val="28"/>
        <w:rPr>
          <w:rFonts w:hint="eastAsia" w:ascii="宋体" w:hAnsi="宋体" w:eastAsia="宋体" w:cs="宋体"/>
        </w:rPr>
      </w:pPr>
    </w:p>
    <w:p>
      <w:pPr>
        <w:pStyle w:val="28"/>
        <w:rPr>
          <w:rFonts w:hint="eastAsia" w:ascii="宋体" w:hAnsi="宋体" w:eastAsia="宋体" w:cs="宋体"/>
        </w:rPr>
      </w:pPr>
    </w:p>
    <w:p>
      <w:pPr>
        <w:rPr>
          <w:rFonts w:hint="eastAsia" w:ascii="宋体" w:hAnsi="宋体" w:eastAsia="宋体" w:cs="宋体"/>
        </w:rPr>
      </w:pPr>
    </w:p>
    <w:p>
      <w:pPr>
        <w:pStyle w:val="6"/>
        <w:numPr>
          <w:ilvl w:val="7"/>
          <w:numId w:val="0"/>
        </w:numPr>
        <w:ind w:leftChars="200"/>
        <w:outlineLvl w:val="9"/>
        <w:rPr>
          <w:rFonts w:hint="eastAsia" w:eastAsia="黑体"/>
          <w:lang w:eastAsia="zh-CN"/>
        </w:rPr>
      </w:pPr>
      <w:r>
        <w:rPr>
          <w:rFonts w:hint="eastAsia"/>
          <w:lang w:val="en-US" w:eastAsia="zh-CN"/>
        </w:rPr>
        <w:drawing>
          <wp:anchor distT="0" distB="0" distL="114300" distR="114300" simplePos="0" relativeHeight="251679744" behindDoc="0" locked="0" layoutInCell="1" allowOverlap="1">
            <wp:simplePos x="0" y="0"/>
            <wp:positionH relativeFrom="column">
              <wp:posOffset>95250</wp:posOffset>
            </wp:positionH>
            <wp:positionV relativeFrom="paragraph">
              <wp:posOffset>187325</wp:posOffset>
            </wp:positionV>
            <wp:extent cx="5041265" cy="2608580"/>
            <wp:effectExtent l="0" t="0" r="6985" b="1270"/>
            <wp:wrapNone/>
            <wp:docPr id="6" name="图片 6" descr="22ff429e2f1d33c7996a540f98a6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2ff429e2f1d33c7996a540f98a6306"/>
                    <pic:cNvPicPr>
                      <a:picLocks noChangeAspect="1"/>
                    </pic:cNvPicPr>
                  </pic:nvPicPr>
                  <pic:blipFill>
                    <a:blip r:embed="rId14"/>
                    <a:stretch>
                      <a:fillRect/>
                    </a:stretch>
                  </pic:blipFill>
                  <pic:spPr>
                    <a:xfrm>
                      <a:off x="0" y="0"/>
                      <a:ext cx="5041265" cy="2608580"/>
                    </a:xfrm>
                    <a:prstGeom prst="rect">
                      <a:avLst/>
                    </a:prstGeom>
                  </pic:spPr>
                </pic:pic>
              </a:graphicData>
            </a:graphic>
          </wp:anchor>
        </w:drawing>
      </w:r>
    </w:p>
    <w:p>
      <w:pPr>
        <w:pStyle w:val="7"/>
        <w:rPr>
          <w:rFonts w:hint="eastAsia" w:eastAsia="黑体"/>
          <w:lang w:eastAsia="zh-CN"/>
        </w:rPr>
      </w:pPr>
    </w:p>
    <w:p>
      <w:pPr>
        <w:pStyle w:val="7"/>
        <w:rPr>
          <w:rFonts w:hint="eastAsia" w:eastAsia="黑体"/>
          <w:lang w:eastAsia="zh-CN"/>
        </w:rPr>
      </w:pPr>
    </w:p>
    <w:p>
      <w:pPr>
        <w:pStyle w:val="7"/>
        <w:rPr>
          <w:rFonts w:hint="eastAsia"/>
        </w:rPr>
      </w:pPr>
    </w:p>
    <w:p>
      <w:pPr>
        <w:pStyle w:val="7"/>
        <w:rPr>
          <w:rFonts w:hint="eastAsia"/>
        </w:rPr>
      </w:pPr>
    </w:p>
    <w:p>
      <w:pPr>
        <w:pStyle w:val="7"/>
        <w:rPr>
          <w:rFonts w:hint="eastAsia"/>
        </w:rPr>
      </w:pPr>
    </w:p>
    <w:p>
      <w:pPr>
        <w:pStyle w:val="5"/>
        <w:spacing w:line="360" w:lineRule="auto"/>
        <w:outlineLvl w:val="9"/>
        <w:rPr>
          <w:rFonts w:hint="eastAsia" w:ascii="宋体" w:hAnsi="宋体" w:eastAsia="宋体" w:cs="宋体"/>
        </w:rPr>
      </w:pPr>
    </w:p>
    <w:p>
      <w:pPr>
        <w:rPr>
          <w:rFonts w:hint="eastAsia" w:ascii="宋体" w:hAnsi="宋体" w:eastAsia="宋体" w:cs="宋体"/>
        </w:rPr>
      </w:pPr>
    </w:p>
    <w:p>
      <w:pPr>
        <w:pStyle w:val="28"/>
        <w:rPr>
          <w:rFonts w:hint="eastAsia" w:ascii="宋体" w:hAnsi="宋体" w:eastAsia="宋体" w:cs="宋体"/>
        </w:rPr>
      </w:pPr>
    </w:p>
    <w:p>
      <w:pPr>
        <w:pStyle w:val="28"/>
        <w:rPr>
          <w:rFonts w:hint="eastAsia" w:ascii="宋体" w:hAnsi="宋体" w:eastAsia="宋体" w:cs="宋体"/>
        </w:rPr>
      </w:pPr>
    </w:p>
    <w:p>
      <w:pPr>
        <w:pStyle w:val="28"/>
        <w:rPr>
          <w:rFonts w:hint="eastAsia" w:ascii="宋体" w:hAnsi="宋体" w:eastAsia="宋体" w:cs="宋体"/>
        </w:rPr>
      </w:pPr>
    </w:p>
    <w:p>
      <w:pPr>
        <w:rPr>
          <w:rFonts w:hint="eastAsia"/>
        </w:rPr>
      </w:pPr>
    </w:p>
    <w:p>
      <w:pPr>
        <w:pStyle w:val="5"/>
        <w:spacing w:line="360" w:lineRule="auto"/>
        <w:outlineLvl w:val="9"/>
        <w:rPr>
          <w:rFonts w:hint="eastAsia" w:ascii="宋体" w:hAnsi="宋体" w:eastAsia="宋体" w:cs="宋体"/>
        </w:rPr>
      </w:pPr>
    </w:p>
    <w:p>
      <w:pPr>
        <w:pStyle w:val="5"/>
        <w:spacing w:line="360" w:lineRule="auto"/>
        <w:outlineLvl w:val="9"/>
        <w:rPr>
          <w:rFonts w:hint="eastAsia" w:ascii="宋体" w:hAnsi="宋体" w:eastAsia="宋体" w:cs="宋体"/>
        </w:rPr>
      </w:pPr>
      <w:r>
        <w:rPr>
          <w:rFonts w:hint="eastAsia"/>
          <w:lang w:val="en-US" w:eastAsia="zh-CN"/>
        </w:rPr>
        <w:drawing>
          <wp:anchor distT="0" distB="0" distL="114300" distR="114300" simplePos="0" relativeHeight="251680768" behindDoc="0" locked="0" layoutInCell="1" allowOverlap="1">
            <wp:simplePos x="0" y="0"/>
            <wp:positionH relativeFrom="column">
              <wp:posOffset>76200</wp:posOffset>
            </wp:positionH>
            <wp:positionV relativeFrom="paragraph">
              <wp:posOffset>-116205</wp:posOffset>
            </wp:positionV>
            <wp:extent cx="5046345" cy="2760345"/>
            <wp:effectExtent l="0" t="0" r="1905" b="1905"/>
            <wp:wrapNone/>
            <wp:docPr id="34" name="图片 34" descr="ed5c1b583c4e07a0a4e42bfc2f21e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ed5c1b583c4e07a0a4e42bfc2f21ee4"/>
                    <pic:cNvPicPr>
                      <a:picLocks noChangeAspect="1"/>
                    </pic:cNvPicPr>
                  </pic:nvPicPr>
                  <pic:blipFill>
                    <a:blip r:embed="rId15"/>
                    <a:stretch>
                      <a:fillRect/>
                    </a:stretch>
                  </pic:blipFill>
                  <pic:spPr>
                    <a:xfrm>
                      <a:off x="0" y="0"/>
                      <a:ext cx="5046345" cy="2760345"/>
                    </a:xfrm>
                    <a:prstGeom prst="rect">
                      <a:avLst/>
                    </a:prstGeom>
                  </pic:spPr>
                </pic:pic>
              </a:graphicData>
            </a:graphic>
          </wp:anchor>
        </w:drawing>
      </w:r>
    </w:p>
    <w:p>
      <w:pPr>
        <w:pStyle w:val="28"/>
        <w:ind w:left="0" w:leftChars="0" w:firstLine="0" w:firstLineChars="0"/>
        <w:rPr>
          <w:rFonts w:hint="eastAsia" w:ascii="宋体" w:hAnsi="宋体" w:eastAsia="宋体" w:cs="宋体"/>
        </w:rPr>
      </w:pPr>
    </w:p>
    <w:p>
      <w:pPr>
        <w:pStyle w:val="28"/>
        <w:ind w:left="0" w:leftChars="0" w:firstLine="0" w:firstLineChars="0"/>
        <w:rPr>
          <w:rFonts w:hint="eastAsia" w:ascii="宋体" w:hAnsi="宋体" w:eastAsia="宋体" w:cs="宋体"/>
        </w:rPr>
      </w:pPr>
    </w:p>
    <w:p>
      <w:pPr>
        <w:pStyle w:val="28"/>
        <w:ind w:left="0" w:leftChars="0" w:firstLine="0" w:firstLineChars="0"/>
        <w:rPr>
          <w:rFonts w:hint="eastAsia" w:ascii="宋体" w:hAnsi="宋体" w:eastAsia="宋体" w:cs="宋体"/>
        </w:rPr>
      </w:pPr>
    </w:p>
    <w:p>
      <w:pPr>
        <w:ind w:left="0" w:leftChars="0" w:firstLine="0" w:firstLineChars="0"/>
        <w:rPr>
          <w:rFonts w:hint="eastAsia" w:ascii="宋体" w:hAnsi="宋体" w:eastAsia="宋体" w:cs="宋体"/>
          <w:b/>
          <w:bCs/>
          <w:lang w:val="en-US" w:eastAsia="zh-CN"/>
        </w:rPr>
      </w:pPr>
    </w:p>
    <w:p>
      <w:pPr>
        <w:ind w:left="0" w:leftChars="0" w:firstLine="0" w:firstLineChars="0"/>
        <w:rPr>
          <w:rFonts w:hint="eastAsia" w:ascii="宋体" w:hAnsi="宋体" w:eastAsia="宋体" w:cs="宋体"/>
          <w:b/>
          <w:bCs/>
          <w:lang w:val="en-US" w:eastAsia="zh-CN"/>
        </w:rPr>
      </w:pPr>
    </w:p>
    <w:p>
      <w:pPr>
        <w:ind w:left="0" w:leftChars="0" w:firstLine="0" w:firstLineChars="0"/>
        <w:rPr>
          <w:rFonts w:hint="eastAsia" w:ascii="宋体" w:hAnsi="宋体" w:eastAsia="宋体" w:cs="宋体"/>
          <w:b/>
          <w:bCs/>
          <w:lang w:val="en-US" w:eastAsia="zh-CN"/>
        </w:rPr>
      </w:pPr>
    </w:p>
    <w:p>
      <w:pPr>
        <w:ind w:left="0" w:leftChars="0" w:firstLine="0" w:firstLineChars="0"/>
        <w:rPr>
          <w:rFonts w:hint="eastAsia" w:ascii="宋体" w:hAnsi="宋体" w:eastAsia="宋体" w:cs="宋体"/>
          <w:b/>
          <w:bCs/>
          <w:lang w:val="en-US" w:eastAsia="zh-CN"/>
        </w:rPr>
      </w:pPr>
    </w:p>
    <w:p>
      <w:pPr>
        <w:ind w:left="0" w:leftChars="0" w:firstLine="0" w:firstLineChars="0"/>
        <w:rPr>
          <w:rFonts w:hint="eastAsia" w:ascii="宋体" w:hAnsi="宋体" w:eastAsia="宋体" w:cs="宋体"/>
          <w:b/>
          <w:bCs/>
          <w:lang w:val="en-US" w:eastAsia="zh-CN"/>
        </w:rPr>
      </w:pPr>
    </w:p>
    <w:p>
      <w:pPr>
        <w:ind w:left="0" w:leftChars="0" w:firstLine="0" w:firstLineChars="0"/>
        <w:rPr>
          <w:rFonts w:hint="eastAsia" w:ascii="宋体" w:hAnsi="宋体" w:eastAsia="宋体" w:cs="宋体"/>
          <w:b/>
          <w:bCs/>
          <w:lang w:val="en-US" w:eastAsia="zh-CN"/>
        </w:rPr>
      </w:pPr>
    </w:p>
    <w:p>
      <w:pPr>
        <w:ind w:left="0" w:leftChars="0" w:firstLine="0" w:firstLineChars="0"/>
        <w:rPr>
          <w:rFonts w:hint="eastAsia" w:ascii="宋体" w:hAnsi="宋体" w:eastAsia="宋体" w:cs="宋体"/>
          <w:b/>
          <w:bCs/>
          <w:lang w:val="en-US" w:eastAsia="zh-CN"/>
        </w:rPr>
      </w:pPr>
      <w:r>
        <w:rPr>
          <w:rFonts w:hint="eastAsia"/>
          <w:lang w:val="en-US" w:eastAsia="zh-CN"/>
        </w:rPr>
        <w:drawing>
          <wp:anchor distT="0" distB="0" distL="114300" distR="114300" simplePos="0" relativeHeight="251676672" behindDoc="0" locked="0" layoutInCell="1" allowOverlap="1">
            <wp:simplePos x="0" y="0"/>
            <wp:positionH relativeFrom="column">
              <wp:posOffset>66675</wp:posOffset>
            </wp:positionH>
            <wp:positionV relativeFrom="paragraph">
              <wp:posOffset>219710</wp:posOffset>
            </wp:positionV>
            <wp:extent cx="5136515" cy="2599055"/>
            <wp:effectExtent l="0" t="0" r="6985" b="10795"/>
            <wp:wrapNone/>
            <wp:docPr id="14" name="图片 14" descr="c43383ab858b4aec37fd47036e89b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43383ab858b4aec37fd47036e89b07"/>
                    <pic:cNvPicPr>
                      <a:picLocks noChangeAspect="1"/>
                    </pic:cNvPicPr>
                  </pic:nvPicPr>
                  <pic:blipFill>
                    <a:blip r:embed="rId16"/>
                    <a:stretch>
                      <a:fillRect/>
                    </a:stretch>
                  </pic:blipFill>
                  <pic:spPr>
                    <a:xfrm>
                      <a:off x="0" y="0"/>
                      <a:ext cx="5136515" cy="2599055"/>
                    </a:xfrm>
                    <a:prstGeom prst="rect">
                      <a:avLst/>
                    </a:prstGeom>
                  </pic:spPr>
                </pic:pic>
              </a:graphicData>
            </a:graphic>
          </wp:anchor>
        </w:drawing>
      </w:r>
    </w:p>
    <w:p>
      <w:pPr>
        <w:ind w:left="0" w:leftChars="0" w:firstLine="0" w:firstLineChars="0"/>
        <w:rPr>
          <w:rFonts w:hint="eastAsia" w:ascii="宋体" w:hAnsi="宋体" w:eastAsia="宋体" w:cs="宋体"/>
          <w:b/>
          <w:bCs/>
          <w:lang w:val="en-US" w:eastAsia="zh-CN"/>
        </w:rPr>
      </w:pPr>
    </w:p>
    <w:p>
      <w:pPr>
        <w:ind w:left="0" w:leftChars="0" w:firstLine="0" w:firstLineChars="0"/>
        <w:rPr>
          <w:rFonts w:hint="eastAsia" w:ascii="宋体" w:hAnsi="宋体" w:eastAsia="宋体" w:cs="宋体"/>
          <w:b/>
          <w:bCs/>
          <w:lang w:val="en-US" w:eastAsia="zh-CN"/>
        </w:rPr>
      </w:pPr>
    </w:p>
    <w:p>
      <w:pPr>
        <w:ind w:left="0" w:leftChars="0" w:firstLine="0" w:firstLineChars="0"/>
        <w:rPr>
          <w:rFonts w:hint="eastAsia" w:ascii="宋体" w:hAnsi="宋体" w:eastAsia="宋体" w:cs="宋体"/>
          <w:b/>
          <w:bCs/>
          <w:lang w:val="en-US" w:eastAsia="zh-CN"/>
        </w:rPr>
      </w:pPr>
    </w:p>
    <w:p>
      <w:pPr>
        <w:ind w:left="0" w:leftChars="0" w:firstLine="0" w:firstLineChars="0"/>
        <w:rPr>
          <w:rFonts w:hint="eastAsia" w:ascii="宋体" w:hAnsi="宋体" w:eastAsia="宋体" w:cs="宋体"/>
          <w:b/>
          <w:bCs/>
          <w:lang w:val="en-US" w:eastAsia="zh-CN"/>
        </w:rPr>
      </w:pPr>
    </w:p>
    <w:p>
      <w:pPr>
        <w:ind w:left="0" w:leftChars="0" w:firstLine="0" w:firstLineChars="0"/>
        <w:rPr>
          <w:rFonts w:hint="eastAsia" w:ascii="宋体" w:hAnsi="宋体" w:eastAsia="宋体" w:cs="宋体"/>
          <w:b/>
          <w:bCs/>
          <w:lang w:val="en-US" w:eastAsia="zh-CN"/>
        </w:rPr>
      </w:pPr>
    </w:p>
    <w:p>
      <w:pPr>
        <w:ind w:left="0" w:leftChars="0" w:firstLine="0" w:firstLineChars="0"/>
        <w:rPr>
          <w:rFonts w:hint="eastAsia" w:ascii="宋体" w:hAnsi="宋体" w:eastAsia="宋体" w:cs="宋体"/>
          <w:b/>
          <w:bCs/>
          <w:lang w:val="en-US" w:eastAsia="zh-CN"/>
        </w:rPr>
      </w:pPr>
    </w:p>
    <w:p>
      <w:pPr>
        <w:ind w:left="0" w:leftChars="0" w:firstLine="0" w:firstLineChars="0"/>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r>
        <w:rPr>
          <w:rFonts w:hint="eastAsia"/>
          <w:lang w:val="en-US" w:eastAsia="zh-CN"/>
        </w:rPr>
        <w:drawing>
          <wp:anchor distT="0" distB="0" distL="114300" distR="114300" simplePos="0" relativeHeight="251681792" behindDoc="0" locked="0" layoutInCell="1" allowOverlap="1">
            <wp:simplePos x="0" y="0"/>
            <wp:positionH relativeFrom="column">
              <wp:posOffset>57150</wp:posOffset>
            </wp:positionH>
            <wp:positionV relativeFrom="paragraph">
              <wp:posOffset>128270</wp:posOffset>
            </wp:positionV>
            <wp:extent cx="5174615" cy="2599055"/>
            <wp:effectExtent l="0" t="0" r="6985" b="10795"/>
            <wp:wrapNone/>
            <wp:docPr id="9" name="图片 9" descr="92170fa2c0fa18b90a323001d6330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92170fa2c0fa18b90a323001d63307d"/>
                    <pic:cNvPicPr>
                      <a:picLocks noChangeAspect="1"/>
                    </pic:cNvPicPr>
                  </pic:nvPicPr>
                  <pic:blipFill>
                    <a:blip r:embed="rId17"/>
                    <a:stretch>
                      <a:fillRect/>
                    </a:stretch>
                  </pic:blipFill>
                  <pic:spPr>
                    <a:xfrm>
                      <a:off x="0" y="0"/>
                      <a:ext cx="5174615" cy="2599055"/>
                    </a:xfrm>
                    <a:prstGeom prst="rect">
                      <a:avLst/>
                    </a:prstGeom>
                  </pic:spPr>
                </pic:pic>
              </a:graphicData>
            </a:graphic>
          </wp:anchor>
        </w:drawing>
      </w:r>
    </w:p>
    <w:p>
      <w:pPr>
        <w:pStyle w:val="28"/>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p>
    <w:p>
      <w:pPr>
        <w:pStyle w:val="28"/>
        <w:rPr>
          <w:rFonts w:hint="eastAsia" w:ascii="宋体" w:hAnsi="宋体" w:eastAsia="宋体" w:cs="宋体"/>
          <w:b/>
          <w:bCs/>
          <w:lang w:val="en-US" w:eastAsia="zh-CN"/>
        </w:rPr>
      </w:pPr>
    </w:p>
    <w:p>
      <w:pPr>
        <w:pStyle w:val="28"/>
        <w:ind w:left="0" w:leftChars="0" w:firstLine="0" w:firstLineChars="0"/>
        <w:rPr>
          <w:rFonts w:hint="eastAsia" w:ascii="宋体" w:hAnsi="宋体" w:eastAsia="宋体" w:cs="宋体"/>
          <w:b/>
          <w:bCs/>
          <w:lang w:val="en-US" w:eastAsia="zh-CN"/>
        </w:rPr>
      </w:pPr>
    </w:p>
    <w:p>
      <w:pPr>
        <w:ind w:left="0" w:leftChars="0" w:firstLine="0" w:firstLineChars="0"/>
        <w:rPr>
          <w:rFonts w:hint="eastAsia" w:ascii="宋体" w:hAnsi="宋体" w:eastAsia="宋体" w:cs="宋体"/>
          <w:color w:val="000000"/>
          <w:kern w:val="0"/>
          <w:sz w:val="24"/>
          <w:szCs w:val="24"/>
          <w:lang w:val="en-US" w:eastAsia="zh-CN" w:bidi="ar"/>
        </w:rPr>
      </w:pPr>
      <w:r>
        <w:rPr>
          <w:rFonts w:hint="eastAsia" w:ascii="宋体" w:hAnsi="宋体" w:eastAsia="宋体" w:cs="宋体"/>
          <w:b/>
          <w:bCs/>
          <w:sz w:val="24"/>
          <w:szCs w:val="24"/>
          <w:lang w:val="en-US" w:eastAsia="zh-CN"/>
        </w:rPr>
        <w:t>3.3.1产品方案</w:t>
      </w:r>
    </w:p>
    <w:p>
      <w:pPr>
        <w:spacing w:line="360" w:lineRule="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根据环评设计，项目产品方案见表</w:t>
      </w:r>
    </w:p>
    <w:p>
      <w:pPr>
        <w:spacing w:line="360" w:lineRule="auto"/>
        <w:ind w:firstLine="1680" w:firstLineChars="700"/>
        <w:rPr>
          <w:rFonts w:hint="default"/>
          <w:lang w:val="en-US" w:eastAsia="zh-CN"/>
        </w:rPr>
      </w:pPr>
      <w:r>
        <w:rPr>
          <w:rFonts w:hint="eastAsia" w:ascii="宋体" w:hAnsi="宋体" w:eastAsia="宋体" w:cs="宋体"/>
          <w:color w:val="000000"/>
          <w:kern w:val="0"/>
          <w:sz w:val="24"/>
          <w:szCs w:val="24"/>
          <w:lang w:val="en-US" w:eastAsia="zh-CN" w:bidi="ar"/>
        </w:rPr>
        <w:t>表3.3-2 项目产品方案</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7"/>
        <w:gridCol w:w="1463"/>
        <w:gridCol w:w="967"/>
        <w:gridCol w:w="1766"/>
        <w:gridCol w:w="1473"/>
        <w:gridCol w:w="20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dxa"/>
            <w:vAlign w:val="center"/>
          </w:tcPr>
          <w:p>
            <w:pPr>
              <w:spacing w:line="360" w:lineRule="auto"/>
              <w:ind w:left="0" w:leftChars="0" w:firstLine="0" w:firstLineChars="0"/>
              <w:jc w:val="both"/>
              <w:rPr>
                <w:rFonts w:hint="default" w:ascii="宋体" w:hAnsi="宋体" w:eastAsia="宋体" w:cs="宋体"/>
                <w:color w:val="000000"/>
                <w:kern w:val="0"/>
                <w:sz w:val="24"/>
                <w:szCs w:val="24"/>
                <w:vertAlign w:val="baseline"/>
                <w:lang w:val="en-US" w:eastAsia="zh-CN" w:bidi="ar"/>
              </w:rPr>
            </w:pPr>
            <w:r>
              <w:rPr>
                <w:rFonts w:hint="eastAsia" w:ascii="宋体" w:hAnsi="宋体" w:eastAsia="宋体" w:cs="宋体"/>
                <w:color w:val="000000"/>
                <w:kern w:val="0"/>
                <w:sz w:val="24"/>
                <w:szCs w:val="24"/>
                <w:vertAlign w:val="baseline"/>
                <w:lang w:val="en-US" w:eastAsia="zh-CN" w:bidi="ar"/>
              </w:rPr>
              <w:t>序号</w:t>
            </w:r>
          </w:p>
        </w:tc>
        <w:tc>
          <w:tcPr>
            <w:tcW w:w="1463" w:type="dxa"/>
            <w:vAlign w:val="center"/>
          </w:tcPr>
          <w:p>
            <w:pPr>
              <w:spacing w:line="360" w:lineRule="auto"/>
              <w:ind w:left="0" w:leftChars="0" w:firstLine="0" w:firstLineChars="0"/>
              <w:jc w:val="both"/>
              <w:rPr>
                <w:rFonts w:hint="default" w:ascii="宋体" w:hAnsi="宋体" w:eastAsia="宋体" w:cs="宋体"/>
                <w:color w:val="000000"/>
                <w:kern w:val="0"/>
                <w:sz w:val="24"/>
                <w:szCs w:val="24"/>
                <w:vertAlign w:val="baseline"/>
                <w:lang w:val="en-US" w:eastAsia="zh-CN" w:bidi="ar"/>
              </w:rPr>
            </w:pPr>
            <w:r>
              <w:rPr>
                <w:rFonts w:hint="eastAsia" w:ascii="宋体" w:hAnsi="宋体" w:eastAsia="宋体" w:cs="宋体"/>
                <w:color w:val="000000"/>
                <w:kern w:val="0"/>
                <w:sz w:val="24"/>
                <w:szCs w:val="24"/>
                <w:vertAlign w:val="baseline"/>
                <w:lang w:val="en-US" w:eastAsia="zh-CN" w:bidi="ar"/>
              </w:rPr>
              <w:t>产品名称</w:t>
            </w:r>
          </w:p>
        </w:tc>
        <w:tc>
          <w:tcPr>
            <w:tcW w:w="967" w:type="dxa"/>
            <w:vAlign w:val="center"/>
          </w:tcPr>
          <w:p>
            <w:pPr>
              <w:spacing w:line="360" w:lineRule="auto"/>
              <w:ind w:left="0" w:leftChars="0" w:firstLine="240" w:firstLineChars="100"/>
              <w:jc w:val="both"/>
              <w:rPr>
                <w:rFonts w:hint="default" w:ascii="宋体" w:hAnsi="宋体" w:eastAsia="宋体" w:cs="宋体"/>
                <w:color w:val="000000"/>
                <w:kern w:val="0"/>
                <w:sz w:val="24"/>
                <w:szCs w:val="24"/>
                <w:vertAlign w:val="baseline"/>
                <w:lang w:val="en-US" w:eastAsia="zh-CN" w:bidi="ar"/>
              </w:rPr>
            </w:pPr>
            <w:r>
              <w:rPr>
                <w:rFonts w:hint="eastAsia" w:ascii="宋体" w:hAnsi="宋体" w:eastAsia="宋体" w:cs="宋体"/>
                <w:color w:val="000000"/>
                <w:kern w:val="0"/>
                <w:sz w:val="24"/>
                <w:szCs w:val="24"/>
                <w:vertAlign w:val="baseline"/>
                <w:lang w:val="en-US" w:eastAsia="zh-CN" w:bidi="ar"/>
              </w:rPr>
              <w:t>单位</w:t>
            </w:r>
          </w:p>
        </w:tc>
        <w:tc>
          <w:tcPr>
            <w:tcW w:w="1766" w:type="dxa"/>
            <w:vAlign w:val="center"/>
          </w:tcPr>
          <w:p>
            <w:pPr>
              <w:spacing w:line="360" w:lineRule="auto"/>
              <w:ind w:left="0" w:leftChars="0" w:firstLine="240" w:firstLineChars="100"/>
              <w:jc w:val="both"/>
              <w:rPr>
                <w:rFonts w:hint="default" w:ascii="宋体" w:hAnsi="宋体" w:eastAsia="宋体" w:cs="宋体"/>
                <w:color w:val="000000"/>
                <w:kern w:val="0"/>
                <w:sz w:val="24"/>
                <w:szCs w:val="24"/>
                <w:vertAlign w:val="baseline"/>
                <w:lang w:val="en-US" w:eastAsia="zh-CN" w:bidi="ar"/>
              </w:rPr>
            </w:pPr>
            <w:r>
              <w:rPr>
                <w:rFonts w:hint="eastAsia" w:ascii="宋体" w:hAnsi="宋体" w:eastAsia="宋体" w:cs="宋体"/>
                <w:color w:val="000000"/>
                <w:kern w:val="0"/>
                <w:sz w:val="24"/>
                <w:szCs w:val="24"/>
                <w:vertAlign w:val="baseline"/>
                <w:lang w:val="en-US" w:eastAsia="zh-CN" w:bidi="ar"/>
              </w:rPr>
              <w:t>环评设计</w:t>
            </w:r>
          </w:p>
        </w:tc>
        <w:tc>
          <w:tcPr>
            <w:tcW w:w="1473" w:type="dxa"/>
            <w:vAlign w:val="center"/>
          </w:tcPr>
          <w:p>
            <w:pPr>
              <w:spacing w:line="360" w:lineRule="auto"/>
              <w:ind w:left="0" w:leftChars="0" w:firstLine="240" w:firstLineChars="100"/>
              <w:jc w:val="both"/>
              <w:rPr>
                <w:rFonts w:hint="default" w:ascii="宋体" w:hAnsi="宋体" w:eastAsia="宋体" w:cs="宋体"/>
                <w:color w:val="000000"/>
                <w:kern w:val="0"/>
                <w:sz w:val="24"/>
                <w:szCs w:val="24"/>
                <w:vertAlign w:val="baseline"/>
                <w:lang w:val="en-US" w:eastAsia="zh-CN" w:bidi="ar"/>
              </w:rPr>
            </w:pPr>
            <w:r>
              <w:rPr>
                <w:rFonts w:hint="eastAsia" w:ascii="宋体" w:hAnsi="宋体" w:eastAsia="宋体" w:cs="宋体"/>
                <w:color w:val="000000"/>
                <w:kern w:val="0"/>
                <w:sz w:val="24"/>
                <w:szCs w:val="24"/>
                <w:vertAlign w:val="baseline"/>
                <w:lang w:val="en-US" w:eastAsia="zh-CN" w:bidi="ar"/>
              </w:rPr>
              <w:t>一期建设</w:t>
            </w:r>
          </w:p>
        </w:tc>
        <w:tc>
          <w:tcPr>
            <w:tcW w:w="2076" w:type="dxa"/>
            <w:vAlign w:val="center"/>
          </w:tcPr>
          <w:p>
            <w:pPr>
              <w:spacing w:line="360" w:lineRule="auto"/>
              <w:jc w:val="both"/>
              <w:rPr>
                <w:rFonts w:hint="default" w:ascii="宋体" w:hAnsi="宋体" w:eastAsia="宋体" w:cs="宋体"/>
                <w:color w:val="000000"/>
                <w:kern w:val="0"/>
                <w:sz w:val="24"/>
                <w:szCs w:val="24"/>
                <w:vertAlign w:val="baseline"/>
                <w:lang w:val="en-US" w:eastAsia="zh-CN" w:bidi="ar"/>
              </w:rPr>
            </w:pPr>
            <w:r>
              <w:rPr>
                <w:rFonts w:hint="eastAsia" w:ascii="宋体" w:hAnsi="宋体" w:eastAsia="宋体" w:cs="宋体"/>
                <w:color w:val="000000"/>
                <w:kern w:val="0"/>
                <w:sz w:val="24"/>
                <w:szCs w:val="24"/>
                <w:vertAlign w:val="baseli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dxa"/>
            <w:vAlign w:val="center"/>
          </w:tcPr>
          <w:p>
            <w:pPr>
              <w:spacing w:line="360" w:lineRule="auto"/>
              <w:ind w:left="0" w:leftChars="0" w:firstLine="240" w:firstLineChars="100"/>
              <w:jc w:val="both"/>
              <w:rPr>
                <w:rFonts w:hint="default" w:ascii="宋体" w:hAnsi="宋体" w:eastAsia="宋体" w:cs="宋体"/>
                <w:color w:val="000000"/>
                <w:kern w:val="0"/>
                <w:sz w:val="24"/>
                <w:szCs w:val="24"/>
                <w:vertAlign w:val="baseline"/>
                <w:lang w:val="en-US" w:eastAsia="zh-CN" w:bidi="ar"/>
              </w:rPr>
            </w:pPr>
            <w:r>
              <w:rPr>
                <w:rFonts w:hint="eastAsia" w:ascii="宋体" w:hAnsi="宋体" w:eastAsia="宋体" w:cs="宋体"/>
                <w:color w:val="000000"/>
                <w:kern w:val="0"/>
                <w:sz w:val="24"/>
                <w:szCs w:val="24"/>
                <w:vertAlign w:val="baseline"/>
                <w:lang w:val="en-US" w:eastAsia="zh-CN" w:bidi="ar"/>
              </w:rPr>
              <w:t>1</w:t>
            </w:r>
          </w:p>
        </w:tc>
        <w:tc>
          <w:tcPr>
            <w:tcW w:w="1463" w:type="dxa"/>
            <w:vAlign w:val="center"/>
          </w:tcPr>
          <w:p>
            <w:pPr>
              <w:spacing w:line="360" w:lineRule="auto"/>
              <w:ind w:left="0" w:leftChars="0" w:firstLine="0" w:firstLineChars="0"/>
              <w:jc w:val="both"/>
              <w:rPr>
                <w:rFonts w:hint="default" w:ascii="宋体" w:hAnsi="宋体" w:eastAsia="宋体" w:cs="宋体"/>
                <w:color w:val="000000"/>
                <w:kern w:val="0"/>
                <w:sz w:val="24"/>
                <w:szCs w:val="24"/>
                <w:vertAlign w:val="baseline"/>
                <w:lang w:val="en-US" w:eastAsia="zh-CN" w:bidi="ar"/>
              </w:rPr>
            </w:pPr>
            <w:r>
              <w:rPr>
                <w:rFonts w:hint="eastAsia" w:ascii="宋体" w:hAnsi="宋体" w:eastAsia="宋体" w:cs="宋体"/>
                <w:color w:val="000000"/>
                <w:kern w:val="0"/>
                <w:sz w:val="24"/>
                <w:szCs w:val="24"/>
                <w:vertAlign w:val="baseline"/>
                <w:lang w:val="en-US" w:eastAsia="zh-CN" w:bidi="ar"/>
              </w:rPr>
              <w:t>肉牛养殖</w:t>
            </w:r>
          </w:p>
        </w:tc>
        <w:tc>
          <w:tcPr>
            <w:tcW w:w="967" w:type="dxa"/>
            <w:vAlign w:val="center"/>
          </w:tcPr>
          <w:p>
            <w:pPr>
              <w:spacing w:line="360" w:lineRule="auto"/>
              <w:ind w:left="0" w:leftChars="0" w:firstLine="240" w:firstLineChars="100"/>
              <w:jc w:val="both"/>
              <w:rPr>
                <w:rFonts w:hint="default" w:ascii="宋体" w:hAnsi="宋体" w:eastAsia="宋体" w:cs="宋体"/>
                <w:color w:val="000000"/>
                <w:kern w:val="0"/>
                <w:sz w:val="24"/>
                <w:szCs w:val="24"/>
                <w:vertAlign w:val="baseline"/>
                <w:lang w:val="en-US" w:eastAsia="zh-CN" w:bidi="ar"/>
              </w:rPr>
            </w:pPr>
            <w:r>
              <w:rPr>
                <w:rFonts w:hint="eastAsia" w:ascii="宋体" w:hAnsi="宋体" w:eastAsia="宋体" w:cs="宋体"/>
                <w:color w:val="000000"/>
                <w:kern w:val="0"/>
                <w:sz w:val="24"/>
                <w:szCs w:val="24"/>
                <w:vertAlign w:val="baseline"/>
                <w:lang w:val="en-US" w:eastAsia="zh-CN" w:bidi="ar"/>
              </w:rPr>
              <w:t>头</w:t>
            </w:r>
          </w:p>
        </w:tc>
        <w:tc>
          <w:tcPr>
            <w:tcW w:w="1766" w:type="dxa"/>
            <w:vAlign w:val="center"/>
          </w:tcPr>
          <w:p>
            <w:pPr>
              <w:spacing w:line="360" w:lineRule="auto"/>
              <w:ind w:left="0" w:leftChars="0" w:firstLine="0" w:firstLineChars="0"/>
              <w:jc w:val="center"/>
              <w:rPr>
                <w:rFonts w:hint="default" w:ascii="宋体" w:hAnsi="宋体" w:eastAsia="宋体" w:cs="宋体"/>
                <w:color w:val="000000"/>
                <w:kern w:val="0"/>
                <w:sz w:val="24"/>
                <w:szCs w:val="24"/>
                <w:vertAlign w:val="baseline"/>
                <w:lang w:val="en-US" w:eastAsia="zh-CN" w:bidi="ar"/>
              </w:rPr>
            </w:pPr>
            <w:r>
              <w:rPr>
                <w:rFonts w:hint="eastAsia" w:ascii="宋体" w:hAnsi="宋体" w:eastAsia="宋体" w:cs="宋体"/>
                <w:color w:val="000000"/>
                <w:kern w:val="0"/>
                <w:sz w:val="24"/>
                <w:szCs w:val="24"/>
                <w:vertAlign w:val="baseline"/>
                <w:lang w:val="en-US" w:eastAsia="zh-CN" w:bidi="ar"/>
              </w:rPr>
              <w:t>2000头/年</w:t>
            </w:r>
          </w:p>
        </w:tc>
        <w:tc>
          <w:tcPr>
            <w:tcW w:w="1473" w:type="dxa"/>
            <w:vAlign w:val="center"/>
          </w:tcPr>
          <w:p>
            <w:pPr>
              <w:spacing w:line="360" w:lineRule="auto"/>
              <w:ind w:left="0" w:leftChars="0" w:firstLine="240" w:firstLineChars="100"/>
              <w:jc w:val="both"/>
              <w:rPr>
                <w:rFonts w:hint="default" w:ascii="宋体" w:hAnsi="宋体" w:eastAsia="宋体" w:cs="宋体"/>
                <w:color w:val="000000"/>
                <w:kern w:val="0"/>
                <w:sz w:val="24"/>
                <w:szCs w:val="24"/>
                <w:vertAlign w:val="baseline"/>
                <w:lang w:val="en-US" w:eastAsia="zh-CN" w:bidi="ar"/>
              </w:rPr>
            </w:pPr>
            <w:r>
              <w:rPr>
                <w:rFonts w:hint="eastAsia" w:ascii="宋体" w:hAnsi="宋体" w:eastAsia="宋体" w:cs="宋体"/>
                <w:color w:val="000000"/>
                <w:kern w:val="0"/>
                <w:sz w:val="24"/>
                <w:szCs w:val="24"/>
                <w:vertAlign w:val="baseline"/>
                <w:lang w:val="en-US" w:eastAsia="zh-CN" w:bidi="ar"/>
              </w:rPr>
              <w:t>800头/年</w:t>
            </w:r>
          </w:p>
        </w:tc>
        <w:tc>
          <w:tcPr>
            <w:tcW w:w="2076" w:type="dxa"/>
            <w:vAlign w:val="center"/>
          </w:tcPr>
          <w:p>
            <w:pPr>
              <w:spacing w:line="360" w:lineRule="auto"/>
              <w:ind w:left="0" w:leftChars="0" w:firstLine="240" w:firstLineChars="100"/>
              <w:jc w:val="both"/>
              <w:rPr>
                <w:rFonts w:hint="default" w:ascii="宋体" w:hAnsi="宋体" w:eastAsia="宋体" w:cs="宋体"/>
                <w:color w:val="000000"/>
                <w:kern w:val="0"/>
                <w:sz w:val="24"/>
                <w:szCs w:val="24"/>
                <w:vertAlign w:val="baseline"/>
                <w:lang w:val="en-US" w:eastAsia="zh-CN" w:bidi="ar"/>
              </w:rPr>
            </w:pPr>
            <w:r>
              <w:rPr>
                <w:rFonts w:hint="eastAsia" w:ascii="宋体" w:hAnsi="宋体" w:eastAsia="宋体" w:cs="宋体"/>
                <w:color w:val="000000"/>
                <w:kern w:val="0"/>
                <w:sz w:val="24"/>
                <w:szCs w:val="24"/>
                <w:vertAlign w:val="baseline"/>
                <w:lang w:val="en-US" w:eastAsia="zh-CN" w:bidi="ar"/>
              </w:rPr>
              <w:t>一期验收</w:t>
            </w:r>
          </w:p>
        </w:tc>
      </w:tr>
    </w:tbl>
    <w:p>
      <w:pPr>
        <w:pStyle w:val="7"/>
        <w:ind w:left="0" w:leftChars="0" w:firstLine="0" w:firstLineChars="0"/>
        <w:rPr>
          <w:rFonts w:hint="eastAsia"/>
        </w:rPr>
      </w:pPr>
    </w:p>
    <w:p>
      <w:pPr>
        <w:pStyle w:val="5"/>
        <w:spacing w:line="360" w:lineRule="auto"/>
        <w:rPr>
          <w:rFonts w:hint="eastAsia" w:ascii="宋体" w:hAnsi="宋体" w:eastAsia="宋体" w:cs="宋体"/>
          <w:sz w:val="24"/>
          <w:szCs w:val="24"/>
        </w:rPr>
      </w:pPr>
      <w:r>
        <w:rPr>
          <w:rFonts w:hint="eastAsia" w:ascii="宋体" w:hAnsi="宋体" w:eastAsia="宋体" w:cs="宋体"/>
          <w:sz w:val="24"/>
          <w:szCs w:val="24"/>
        </w:rPr>
        <w:t>3.</w:t>
      </w:r>
      <w:r>
        <w:rPr>
          <w:rFonts w:hint="eastAsia" w:ascii="宋体" w:hAnsi="宋体" w:eastAsia="宋体" w:cs="宋体"/>
          <w:sz w:val="24"/>
          <w:szCs w:val="24"/>
          <w:lang w:val="en-US" w:eastAsia="zh-CN"/>
        </w:rPr>
        <w:t>3</w:t>
      </w:r>
      <w:r>
        <w:rPr>
          <w:rFonts w:hint="eastAsia" w:ascii="宋体" w:hAnsi="宋体" w:eastAsia="宋体" w:cs="宋体"/>
          <w:sz w:val="24"/>
          <w:szCs w:val="24"/>
        </w:rPr>
        <w:t>.</w:t>
      </w:r>
      <w:r>
        <w:rPr>
          <w:rFonts w:hint="eastAsia" w:ascii="宋体" w:hAnsi="宋体" w:eastAsia="宋体" w:cs="宋体"/>
          <w:sz w:val="24"/>
          <w:szCs w:val="24"/>
          <w:lang w:val="en-US" w:eastAsia="zh-CN"/>
        </w:rPr>
        <w:t>2</w:t>
      </w:r>
      <w:r>
        <w:rPr>
          <w:rFonts w:hint="eastAsia" w:ascii="宋体" w:hAnsi="宋体" w:eastAsia="宋体" w:cs="宋体"/>
          <w:sz w:val="24"/>
          <w:szCs w:val="24"/>
        </w:rPr>
        <w:t>主要生产设备</w:t>
      </w:r>
      <w:bookmarkEnd w:id="68"/>
      <w:bookmarkEnd w:id="69"/>
      <w:bookmarkEnd w:id="70"/>
      <w:bookmarkEnd w:id="71"/>
      <w:bookmarkEnd w:id="72"/>
    </w:p>
    <w:p>
      <w:pPr>
        <w:spacing w:line="360" w:lineRule="auto"/>
        <w:rPr>
          <w:rFonts w:hint="eastAsia" w:asciiTheme="minorEastAsia" w:hAnsiTheme="minorEastAsia" w:eastAsiaTheme="minorEastAsia" w:cstheme="minorEastAsia"/>
          <w:b/>
          <w:bCs/>
          <w:color w:val="000000"/>
        </w:rPr>
      </w:pPr>
      <w:r>
        <w:rPr>
          <w:rFonts w:hint="eastAsia" w:asciiTheme="minorEastAsia" w:hAnsiTheme="minorEastAsia" w:eastAsiaTheme="minorEastAsia" w:cstheme="minorEastAsia"/>
          <w:lang w:val="en-US" w:eastAsia="zh-CN"/>
        </w:rPr>
        <w:t>由于项目分期建设以及涉及“三废”治理工艺的变化，主要生产设施设备按一期产能配备；部分辅助工程一次建成；涉及“三废”处理设备，一期项目由于养殖工艺的优化，产生废水较少，进入干粪中，废水处理相关设施没有建设，牛粪处置设备，由原来的自行处置改为委托外单位进行处置，也没有配备相关设备。</w:t>
      </w:r>
      <w:r>
        <w:rPr>
          <w:rFonts w:hint="eastAsia" w:asciiTheme="minorEastAsia" w:hAnsiTheme="minorEastAsia" w:eastAsiaTheme="minorEastAsia" w:cstheme="minorEastAsia"/>
        </w:rPr>
        <w:t>具体设备变化情况见表3</w:t>
      </w:r>
      <w:r>
        <w:rPr>
          <w:rFonts w:hint="eastAsia" w:asciiTheme="minorEastAsia" w:hAnsiTheme="minorEastAsia" w:eastAsiaTheme="minorEastAsia" w:cstheme="minorEastAsia"/>
          <w:lang w:val="en-US" w:eastAsia="zh-CN"/>
        </w:rPr>
        <w:t>.3</w:t>
      </w:r>
      <w:r>
        <w:rPr>
          <w:rFonts w:hint="eastAsia" w:asciiTheme="minorEastAsia" w:hAnsiTheme="minorEastAsia" w:eastAsiaTheme="minorEastAsia" w:cstheme="minorEastAsia"/>
        </w:rPr>
        <w:t>-</w:t>
      </w:r>
      <w:r>
        <w:rPr>
          <w:rFonts w:hint="eastAsia" w:asciiTheme="minorEastAsia" w:hAnsiTheme="minorEastAsia" w:eastAsiaTheme="minorEastAsia" w:cstheme="minorEastAsia"/>
          <w:lang w:val="en-US" w:eastAsia="zh-CN"/>
        </w:rPr>
        <w:t>3</w:t>
      </w:r>
      <w:r>
        <w:rPr>
          <w:rFonts w:hint="eastAsia" w:asciiTheme="minorEastAsia" w:hAnsiTheme="minorEastAsia" w:eastAsiaTheme="minorEastAsia" w:cstheme="minorEastAsia"/>
        </w:rPr>
        <w:t>。</w:t>
      </w:r>
    </w:p>
    <w:p>
      <w:pPr>
        <w:widowControl/>
        <w:adjustRightInd w:val="0"/>
        <w:snapToGrid w:val="0"/>
        <w:spacing w:line="360" w:lineRule="auto"/>
        <w:ind w:firstLine="482"/>
        <w:jc w:val="center"/>
        <w:rPr>
          <w:rFonts w:ascii="宋体" w:hAnsi="宋体" w:eastAsia="宋体" w:cs="宋体"/>
          <w:b/>
          <w:bCs/>
          <w:color w:val="000000"/>
        </w:rPr>
      </w:pPr>
      <w:r>
        <w:rPr>
          <w:rFonts w:hint="eastAsia" w:ascii="宋体" w:hAnsi="宋体" w:eastAsia="宋体" w:cs="宋体"/>
          <w:b/>
          <w:bCs/>
          <w:color w:val="000000"/>
        </w:rPr>
        <w:t>表3</w:t>
      </w:r>
      <w:r>
        <w:rPr>
          <w:rFonts w:hint="eastAsia" w:ascii="宋体" w:hAnsi="宋体" w:eastAsia="宋体" w:cs="宋体"/>
          <w:b/>
          <w:bCs/>
          <w:color w:val="000000"/>
          <w:lang w:val="en-US" w:eastAsia="zh-CN"/>
        </w:rPr>
        <w:t>.3</w:t>
      </w:r>
      <w:r>
        <w:rPr>
          <w:rFonts w:hint="eastAsia" w:ascii="宋体" w:hAnsi="宋体" w:eastAsia="宋体" w:cs="宋体"/>
          <w:b/>
          <w:bCs/>
          <w:color w:val="000000"/>
        </w:rPr>
        <w:t>-</w:t>
      </w:r>
      <w:r>
        <w:rPr>
          <w:rFonts w:hint="eastAsia" w:ascii="宋体" w:hAnsi="宋体" w:eastAsia="宋体" w:cs="宋体"/>
          <w:b/>
          <w:bCs/>
          <w:color w:val="000000"/>
          <w:lang w:val="en-US" w:eastAsia="zh-CN"/>
        </w:rPr>
        <w:t>3</w:t>
      </w:r>
      <w:r>
        <w:rPr>
          <w:rFonts w:hint="eastAsia" w:ascii="宋体" w:hAnsi="宋体" w:eastAsia="宋体" w:cs="宋体"/>
          <w:b/>
          <w:bCs/>
          <w:color w:val="000000"/>
        </w:rPr>
        <w:t xml:space="preserve">   主要生产设备变化情况清单</w:t>
      </w:r>
    </w:p>
    <w:tbl>
      <w:tblPr>
        <w:tblStyle w:val="23"/>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2693"/>
        <w:gridCol w:w="851"/>
        <w:gridCol w:w="1275"/>
        <w:gridCol w:w="1276"/>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846" w:type="dxa"/>
            <w:vAlign w:val="center"/>
          </w:tcPr>
          <w:p>
            <w:pPr>
              <w:pStyle w:val="29"/>
              <w:adjustRightInd w:val="0"/>
              <w:spacing w:line="240" w:lineRule="auto"/>
              <w:ind w:firstLine="0" w:firstLineChars="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类别</w:t>
            </w:r>
          </w:p>
        </w:tc>
        <w:tc>
          <w:tcPr>
            <w:tcW w:w="2693" w:type="dxa"/>
            <w:vAlign w:val="center"/>
          </w:tcPr>
          <w:p>
            <w:pPr>
              <w:pStyle w:val="29"/>
              <w:adjustRightInd w:val="0"/>
              <w:spacing w:line="240" w:lineRule="auto"/>
              <w:ind w:firstLine="0" w:firstLineChars="0"/>
              <w:jc w:val="center"/>
              <w:rPr>
                <w:rFonts w:ascii="宋体" w:hAnsi="宋体" w:eastAsia="宋体" w:cs="宋体"/>
                <w:b/>
                <w:bCs/>
                <w:sz w:val="24"/>
                <w:szCs w:val="24"/>
              </w:rPr>
            </w:pPr>
            <w:r>
              <w:rPr>
                <w:rFonts w:hint="eastAsia" w:ascii="宋体" w:hAnsi="宋体" w:eastAsia="宋体" w:cs="宋体"/>
                <w:b/>
                <w:bCs/>
                <w:sz w:val="24"/>
                <w:szCs w:val="24"/>
              </w:rPr>
              <w:t>设备名称</w:t>
            </w:r>
          </w:p>
        </w:tc>
        <w:tc>
          <w:tcPr>
            <w:tcW w:w="851" w:type="dxa"/>
            <w:vAlign w:val="center"/>
          </w:tcPr>
          <w:p>
            <w:pPr>
              <w:pStyle w:val="29"/>
              <w:adjustRightInd w:val="0"/>
              <w:spacing w:line="240" w:lineRule="auto"/>
              <w:ind w:firstLine="0" w:firstLineChars="0"/>
              <w:jc w:val="center"/>
              <w:rPr>
                <w:rFonts w:ascii="宋体" w:hAnsi="宋体" w:eastAsia="宋体" w:cs="宋体"/>
                <w:b/>
                <w:bCs/>
                <w:sz w:val="24"/>
                <w:szCs w:val="24"/>
              </w:rPr>
            </w:pPr>
            <w:r>
              <w:rPr>
                <w:rFonts w:hint="eastAsia" w:ascii="宋体" w:hAnsi="宋体" w:eastAsia="宋体" w:cs="宋体"/>
                <w:b/>
                <w:bCs/>
                <w:sz w:val="24"/>
                <w:szCs w:val="24"/>
              </w:rPr>
              <w:t>单位</w:t>
            </w:r>
          </w:p>
        </w:tc>
        <w:tc>
          <w:tcPr>
            <w:tcW w:w="1275" w:type="dxa"/>
            <w:vAlign w:val="center"/>
          </w:tcPr>
          <w:p>
            <w:pPr>
              <w:pStyle w:val="29"/>
              <w:adjustRightInd w:val="0"/>
              <w:spacing w:line="240" w:lineRule="auto"/>
              <w:ind w:firstLine="0" w:firstLineChars="0"/>
              <w:jc w:val="center"/>
              <w:rPr>
                <w:rFonts w:ascii="宋体" w:hAnsi="宋体" w:eastAsia="宋体" w:cs="宋体"/>
                <w:b/>
                <w:bCs/>
                <w:sz w:val="24"/>
                <w:szCs w:val="24"/>
              </w:rPr>
            </w:pPr>
            <w:r>
              <w:rPr>
                <w:rFonts w:hint="eastAsia" w:ascii="宋体" w:hAnsi="宋体" w:eastAsia="宋体" w:cs="宋体"/>
                <w:b/>
                <w:bCs/>
                <w:sz w:val="24"/>
                <w:szCs w:val="24"/>
              </w:rPr>
              <w:t>环评数量</w:t>
            </w:r>
          </w:p>
        </w:tc>
        <w:tc>
          <w:tcPr>
            <w:tcW w:w="1276" w:type="dxa"/>
            <w:vAlign w:val="center"/>
          </w:tcPr>
          <w:p>
            <w:pPr>
              <w:pStyle w:val="29"/>
              <w:adjustRightInd w:val="0"/>
              <w:spacing w:line="240" w:lineRule="auto"/>
              <w:ind w:firstLine="0" w:firstLineChars="0"/>
              <w:jc w:val="center"/>
              <w:rPr>
                <w:rFonts w:ascii="宋体" w:hAnsi="宋体" w:eastAsia="宋体" w:cs="宋体"/>
                <w:b/>
                <w:bCs/>
                <w:sz w:val="24"/>
                <w:szCs w:val="24"/>
              </w:rPr>
            </w:pPr>
            <w:r>
              <w:rPr>
                <w:rFonts w:hint="eastAsia" w:ascii="宋体" w:hAnsi="宋体" w:eastAsia="宋体" w:cs="宋体"/>
                <w:b/>
                <w:bCs/>
                <w:sz w:val="24"/>
                <w:szCs w:val="24"/>
                <w:lang w:val="en-US" w:eastAsia="zh-CN"/>
              </w:rPr>
              <w:t>一期</w:t>
            </w:r>
            <w:r>
              <w:rPr>
                <w:rFonts w:hint="eastAsia" w:ascii="宋体" w:hAnsi="宋体" w:eastAsia="宋体" w:cs="宋体"/>
                <w:b/>
                <w:bCs/>
                <w:sz w:val="24"/>
                <w:szCs w:val="24"/>
              </w:rPr>
              <w:t>数量</w:t>
            </w:r>
          </w:p>
        </w:tc>
        <w:tc>
          <w:tcPr>
            <w:tcW w:w="1418" w:type="dxa"/>
            <w:vAlign w:val="center"/>
          </w:tcPr>
          <w:p>
            <w:pPr>
              <w:pStyle w:val="29"/>
              <w:adjustRightInd w:val="0"/>
              <w:spacing w:line="240" w:lineRule="auto"/>
              <w:ind w:firstLine="0" w:firstLineChars="0"/>
              <w:jc w:val="center"/>
              <w:rPr>
                <w:rFonts w:hint="eastAsia" w:ascii="宋体" w:hAnsi="宋体" w:eastAsia="宋体" w:cs="宋体"/>
                <w:b/>
                <w:bCs/>
                <w:sz w:val="24"/>
                <w:szCs w:val="24"/>
                <w:lang w:val="en-US" w:eastAsia="zh-CN"/>
              </w:rPr>
            </w:pPr>
            <w:r>
              <w:rPr>
                <w:rFonts w:ascii="宋体" w:hAnsi="宋体" w:eastAsia="宋体" w:cs="宋体"/>
                <w:b/>
                <w:bCs/>
                <w:sz w:val="24"/>
                <w:szCs w:val="24"/>
              </w:rPr>
              <w:t>情况</w:t>
            </w:r>
            <w:r>
              <w:rPr>
                <w:rFonts w:hint="eastAsia" w:ascii="宋体" w:hAnsi="宋体" w:eastAsia="宋体" w:cs="宋体"/>
                <w:b/>
                <w:bCs/>
                <w:sz w:val="24"/>
                <w:szCs w:val="24"/>
                <w:lang w:val="en-US" w:eastAsia="zh-CN"/>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846" w:type="dxa"/>
            <w:vMerge w:val="restart"/>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供电</w:t>
            </w:r>
          </w:p>
          <w:p>
            <w:pPr>
              <w:pStyle w:val="29"/>
              <w:numPr>
                <w:ilvl w:val="0"/>
                <w:numId w:val="0"/>
              </w:numPr>
              <w:adjustRightInd w:val="0"/>
              <w:spacing w:line="240" w:lineRule="auto"/>
              <w:ind w:leftChars="0"/>
              <w:jc w:val="center"/>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变压器</w:t>
            </w:r>
          </w:p>
        </w:tc>
        <w:tc>
          <w:tcPr>
            <w:tcW w:w="851" w:type="dxa"/>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台</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846" w:type="dxa"/>
            <w:vMerge w:val="continue"/>
            <w:vAlign w:val="center"/>
          </w:tcPr>
          <w:p>
            <w:pPr>
              <w:pStyle w:val="29"/>
              <w:adjustRightInd w:val="0"/>
              <w:spacing w:line="240" w:lineRule="auto"/>
              <w:ind w:firstLineChars="0"/>
              <w:jc w:val="center"/>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柴油发电机</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台</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1</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continue"/>
            <w:vAlign w:val="center"/>
          </w:tcPr>
          <w:p>
            <w:pPr>
              <w:pStyle w:val="29"/>
              <w:adjustRightInd w:val="0"/>
              <w:spacing w:line="240" w:lineRule="auto"/>
              <w:ind w:firstLineChars="0"/>
              <w:jc w:val="center"/>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栏舍电气</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套</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27</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10</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846" w:type="dxa"/>
            <w:vMerge w:val="continue"/>
            <w:vAlign w:val="center"/>
          </w:tcPr>
          <w:p>
            <w:pPr>
              <w:pStyle w:val="29"/>
              <w:adjustRightInd w:val="0"/>
              <w:spacing w:line="240" w:lineRule="auto"/>
              <w:ind w:firstLineChars="0"/>
              <w:jc w:val="center"/>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照明系统</w:t>
            </w:r>
          </w:p>
        </w:tc>
        <w:tc>
          <w:tcPr>
            <w:tcW w:w="851" w:type="dxa"/>
            <w:vAlign w:val="center"/>
          </w:tcPr>
          <w:p>
            <w:pPr>
              <w:adjustRightInd w:val="0"/>
              <w:spacing w:line="240" w:lineRule="auto"/>
              <w:ind w:left="0" w:leftChars="0"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套</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33</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14</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restart"/>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供水</w:t>
            </w: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水井+水池+主水路</w:t>
            </w:r>
          </w:p>
        </w:tc>
        <w:tc>
          <w:tcPr>
            <w:tcW w:w="851" w:type="dxa"/>
            <w:vAlign w:val="center"/>
          </w:tcPr>
          <w:p>
            <w:pPr>
              <w:adjustRightInd w:val="0"/>
              <w:spacing w:line="240" w:lineRule="auto"/>
              <w:ind w:left="0" w:leftChars="0"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套</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continue"/>
            <w:vAlign w:val="center"/>
          </w:tcPr>
          <w:p>
            <w:pPr>
              <w:pStyle w:val="29"/>
              <w:adjustRightInd w:val="0"/>
              <w:spacing w:line="240" w:lineRule="auto"/>
              <w:ind w:firstLineChars="0"/>
              <w:jc w:val="center"/>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栏舍内饮水系统</w:t>
            </w:r>
          </w:p>
        </w:tc>
        <w:tc>
          <w:tcPr>
            <w:tcW w:w="851" w:type="dxa"/>
            <w:vAlign w:val="center"/>
          </w:tcPr>
          <w:p>
            <w:pPr>
              <w:adjustRightInd w:val="0"/>
              <w:spacing w:line="240" w:lineRule="auto"/>
              <w:ind w:left="0" w:leftChars="0"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套</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27</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10</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restart"/>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环控</w:t>
            </w:r>
          </w:p>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系统</w:t>
            </w:r>
          </w:p>
          <w:p>
            <w:pPr>
              <w:pStyle w:val="29"/>
              <w:numPr>
                <w:ilvl w:val="0"/>
                <w:numId w:val="0"/>
              </w:numPr>
              <w:adjustRightInd w:val="0"/>
              <w:spacing w:line="240" w:lineRule="auto"/>
              <w:ind w:leftChars="0"/>
              <w:jc w:val="center"/>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环控系统</w:t>
            </w:r>
          </w:p>
        </w:tc>
        <w:tc>
          <w:tcPr>
            <w:tcW w:w="851" w:type="dxa"/>
            <w:vAlign w:val="center"/>
          </w:tcPr>
          <w:p>
            <w:pPr>
              <w:adjustRightInd w:val="0"/>
              <w:spacing w:line="240" w:lineRule="auto"/>
              <w:ind w:left="0" w:leftChars="0"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套</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continue"/>
            <w:vAlign w:val="center"/>
          </w:tcPr>
          <w:p>
            <w:pPr>
              <w:pStyle w:val="29"/>
              <w:adjustRightInd w:val="0"/>
              <w:spacing w:line="240" w:lineRule="auto"/>
              <w:ind w:left="420" w:leftChars="0" w:firstLineChars="0"/>
              <w:jc w:val="center"/>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风机</w:t>
            </w:r>
          </w:p>
        </w:tc>
        <w:tc>
          <w:tcPr>
            <w:tcW w:w="851" w:type="dxa"/>
            <w:vAlign w:val="center"/>
          </w:tcPr>
          <w:p>
            <w:pPr>
              <w:adjustRightInd w:val="0"/>
              <w:spacing w:line="240" w:lineRule="auto"/>
              <w:ind w:left="0" w:leftChars="0"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套</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若干</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若干</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continue"/>
            <w:vAlign w:val="center"/>
          </w:tcPr>
          <w:p>
            <w:pPr>
              <w:pStyle w:val="29"/>
              <w:adjustRightInd w:val="0"/>
              <w:spacing w:line="240" w:lineRule="auto"/>
              <w:ind w:left="420" w:leftChars="0" w:firstLineChars="0"/>
              <w:jc w:val="center"/>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水泵</w:t>
            </w:r>
          </w:p>
        </w:tc>
        <w:tc>
          <w:tcPr>
            <w:tcW w:w="851" w:type="dxa"/>
            <w:vAlign w:val="center"/>
          </w:tcPr>
          <w:p>
            <w:pPr>
              <w:adjustRightInd w:val="0"/>
              <w:spacing w:line="240" w:lineRule="auto"/>
              <w:ind w:left="0" w:leftChars="0"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套</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若干</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若干</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restart"/>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饲料加工系统</w:t>
            </w: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饲料机组</w:t>
            </w:r>
          </w:p>
        </w:tc>
        <w:tc>
          <w:tcPr>
            <w:tcW w:w="851" w:type="dxa"/>
            <w:vAlign w:val="center"/>
          </w:tcPr>
          <w:p>
            <w:pPr>
              <w:adjustRightInd w:val="0"/>
              <w:spacing w:line="240" w:lineRule="auto"/>
              <w:ind w:left="0" w:leftChars="0"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套</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continue"/>
            <w:vAlign w:val="center"/>
          </w:tcPr>
          <w:p>
            <w:pPr>
              <w:pStyle w:val="29"/>
              <w:adjustRightInd w:val="0"/>
              <w:spacing w:line="240" w:lineRule="auto"/>
              <w:ind w:left="420" w:leftChars="0" w:firstLineChars="0"/>
              <w:jc w:val="center"/>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铡草刀</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台</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4</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restart"/>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仓储</w:t>
            </w:r>
          </w:p>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运输</w:t>
            </w: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散装饲料车</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辆</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continue"/>
            <w:vAlign w:val="center"/>
          </w:tcPr>
          <w:p>
            <w:pPr>
              <w:pStyle w:val="29"/>
              <w:adjustRightInd w:val="0"/>
              <w:spacing w:line="240" w:lineRule="auto"/>
              <w:ind w:left="420" w:leftChars="0" w:firstLineChars="0"/>
              <w:jc w:val="center"/>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厂内拉牛车和拉粪车</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辆</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3</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拉粪车1</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restart"/>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配套</w:t>
            </w:r>
          </w:p>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设施</w:t>
            </w: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地磅秤</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台</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饲料秤1，牛秤1</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continue"/>
            <w:vAlign w:val="center"/>
          </w:tcPr>
          <w:p>
            <w:pPr>
              <w:pStyle w:val="29"/>
              <w:adjustRightInd w:val="0"/>
              <w:spacing w:line="240" w:lineRule="auto"/>
              <w:ind w:left="420" w:leftChars="0" w:firstLineChars="0"/>
              <w:jc w:val="center"/>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内勤拖车</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辆</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restart"/>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粪污</w:t>
            </w:r>
          </w:p>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处理</w:t>
            </w: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污水处理系统设备</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套</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1276" w:type="dxa"/>
            <w:vAlign w:val="center"/>
          </w:tcPr>
          <w:p>
            <w:pPr>
              <w:pStyle w:val="29"/>
              <w:adjustRightInd w:val="0"/>
              <w:spacing w:line="240" w:lineRule="auto"/>
              <w:ind w:firstLine="0" w:firstLineChars="0"/>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未建设</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项目变更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continue"/>
            <w:vAlign w:val="center"/>
          </w:tcPr>
          <w:p>
            <w:pPr>
              <w:pStyle w:val="29"/>
              <w:adjustRightInd w:val="0"/>
              <w:spacing w:line="240" w:lineRule="auto"/>
              <w:ind w:left="420" w:leftChars="0" w:firstLineChars="0"/>
              <w:jc w:val="center"/>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刮粪系统</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套</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病死牛冷藏</w:t>
            </w: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病死牛冷藏柜</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台</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1276"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418" w:type="dxa"/>
            <w:vAlign w:val="center"/>
          </w:tcPr>
          <w:p>
            <w:pPr>
              <w:pStyle w:val="29"/>
              <w:adjustRightInd w:val="0"/>
              <w:spacing w:line="240" w:lineRule="auto"/>
              <w:ind w:firstLine="0" w:firstLine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restart"/>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辅助工程设备</w:t>
            </w:r>
          </w:p>
          <w:p>
            <w:pPr>
              <w:pStyle w:val="29"/>
              <w:numPr>
                <w:ilvl w:val="0"/>
                <w:numId w:val="0"/>
              </w:numPr>
              <w:adjustRightInd w:val="0"/>
              <w:spacing w:line="240" w:lineRule="auto"/>
              <w:ind w:leftChars="0"/>
              <w:jc w:val="center"/>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沼气储气柜</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个</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1</w:t>
            </w:r>
          </w:p>
        </w:tc>
        <w:tc>
          <w:tcPr>
            <w:tcW w:w="1276" w:type="dxa"/>
            <w:vAlign w:val="center"/>
          </w:tcPr>
          <w:p>
            <w:pPr>
              <w:adjustRightInd w:val="0"/>
              <w:spacing w:line="240" w:lineRule="auto"/>
              <w:ind w:left="0" w:leftChars="0"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未建设</w:t>
            </w:r>
          </w:p>
        </w:tc>
        <w:tc>
          <w:tcPr>
            <w:tcW w:w="1418" w:type="dxa"/>
            <w:vAlign w:val="center"/>
          </w:tcPr>
          <w:p>
            <w:pPr>
              <w:adjustRightInd w:val="0"/>
              <w:spacing w:line="240" w:lineRule="auto"/>
              <w:ind w:left="0" w:leftChars="0" w:firstLine="0" w:firstLineChars="0"/>
              <w:jc w:val="both"/>
              <w:rPr>
                <w:rFonts w:hint="eastAsia" w:ascii="宋体" w:hAnsi="宋体" w:eastAsia="宋体" w:cs="宋体"/>
                <w:sz w:val="24"/>
                <w:szCs w:val="24"/>
                <w:lang w:eastAsia="zh-CN"/>
              </w:rPr>
            </w:pPr>
            <w:r>
              <w:rPr>
                <w:rFonts w:hint="eastAsia" w:ascii="宋体" w:hAnsi="宋体" w:eastAsia="宋体" w:cs="宋体"/>
                <w:sz w:val="24"/>
                <w:szCs w:val="24"/>
                <w:lang w:val="en-US" w:eastAsia="zh-CN"/>
              </w:rPr>
              <w:t>项目变更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continue"/>
            <w:vAlign w:val="center"/>
          </w:tcPr>
          <w:p>
            <w:pPr>
              <w:pStyle w:val="29"/>
              <w:adjustRightInd w:val="0"/>
              <w:spacing w:line="240" w:lineRule="auto"/>
              <w:ind w:left="420" w:leftChars="0" w:firstLineChars="0"/>
              <w:jc w:val="right"/>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尾水输送</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套</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w:t>
            </w:r>
          </w:p>
        </w:tc>
        <w:tc>
          <w:tcPr>
            <w:tcW w:w="1276" w:type="dxa"/>
            <w:vAlign w:val="center"/>
          </w:tcPr>
          <w:p>
            <w:pPr>
              <w:adjustRightInd w:val="0"/>
              <w:spacing w:line="240" w:lineRule="auto"/>
              <w:ind w:left="0" w:leftChars="0"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未建设</w:t>
            </w:r>
          </w:p>
        </w:tc>
        <w:tc>
          <w:tcPr>
            <w:tcW w:w="1418" w:type="dxa"/>
            <w:vAlign w:val="center"/>
          </w:tcPr>
          <w:p>
            <w:pPr>
              <w:adjustRightInd w:val="0"/>
              <w:spacing w:line="240" w:lineRule="auto"/>
              <w:ind w:left="0" w:leftChars="0" w:firstLine="0"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项目变更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continue"/>
            <w:vAlign w:val="center"/>
          </w:tcPr>
          <w:p>
            <w:pPr>
              <w:pStyle w:val="29"/>
              <w:adjustRightInd w:val="0"/>
              <w:spacing w:line="240" w:lineRule="auto"/>
              <w:ind w:left="420" w:leftChars="0" w:firstLineChars="0"/>
              <w:jc w:val="right"/>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沼气脱硫系统</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套</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276" w:type="dxa"/>
            <w:vAlign w:val="center"/>
          </w:tcPr>
          <w:p>
            <w:pPr>
              <w:adjustRightInd w:val="0"/>
              <w:spacing w:line="240" w:lineRule="auto"/>
              <w:ind w:left="0" w:leftChars="0"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未建设</w:t>
            </w:r>
          </w:p>
        </w:tc>
        <w:tc>
          <w:tcPr>
            <w:tcW w:w="1418" w:type="dxa"/>
            <w:vAlign w:val="center"/>
          </w:tcPr>
          <w:p>
            <w:pPr>
              <w:adjustRightInd w:val="0"/>
              <w:spacing w:line="240" w:lineRule="auto"/>
              <w:ind w:left="0" w:leftChars="0" w:firstLine="0"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项目变更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46" w:type="dxa"/>
            <w:vMerge w:val="continue"/>
            <w:vAlign w:val="center"/>
          </w:tcPr>
          <w:p>
            <w:pPr>
              <w:pStyle w:val="29"/>
              <w:adjustRightInd w:val="0"/>
              <w:spacing w:line="240" w:lineRule="auto"/>
              <w:ind w:left="420" w:leftChars="0" w:firstLineChars="0"/>
              <w:jc w:val="right"/>
              <w:rPr>
                <w:rFonts w:hint="eastAsia" w:asciiTheme="minorEastAsia" w:hAnsiTheme="minorEastAsia" w:eastAsiaTheme="minorEastAsia" w:cstheme="minorEastAsia"/>
                <w:sz w:val="21"/>
                <w:szCs w:val="21"/>
              </w:rPr>
            </w:pPr>
          </w:p>
        </w:tc>
        <w:tc>
          <w:tcPr>
            <w:tcW w:w="2693" w:type="dxa"/>
            <w:vAlign w:val="center"/>
          </w:tcPr>
          <w:p>
            <w:pPr>
              <w:keepNext w:val="0"/>
              <w:keepLines w:val="0"/>
              <w:widowControl/>
              <w:suppressLineNumbers w:val="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沼气增压系统</w:t>
            </w:r>
          </w:p>
        </w:tc>
        <w:tc>
          <w:tcPr>
            <w:tcW w:w="851"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套</w:t>
            </w:r>
          </w:p>
        </w:tc>
        <w:tc>
          <w:tcPr>
            <w:tcW w:w="1275"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276" w:type="dxa"/>
            <w:vAlign w:val="center"/>
          </w:tcPr>
          <w:p>
            <w:pPr>
              <w:adjustRightInd w:val="0"/>
              <w:spacing w:line="240" w:lineRule="auto"/>
              <w:ind w:left="0" w:leftChars="0"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未建设</w:t>
            </w:r>
          </w:p>
        </w:tc>
        <w:tc>
          <w:tcPr>
            <w:tcW w:w="1418" w:type="dxa"/>
            <w:vAlign w:val="center"/>
          </w:tcPr>
          <w:p>
            <w:pPr>
              <w:adjustRightInd w:val="0"/>
              <w:spacing w:line="240" w:lineRule="auto"/>
              <w:ind w:left="0" w:leftChars="0" w:firstLine="0" w:firstLineChars="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项目变更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8359" w:type="dxa"/>
            <w:gridSpan w:val="6"/>
            <w:vAlign w:val="center"/>
          </w:tcPr>
          <w:p>
            <w:pPr>
              <w:pStyle w:val="29"/>
              <w:adjustRightInd w:val="0"/>
              <w:spacing w:line="240" w:lineRule="auto"/>
              <w:ind w:firstLine="0" w:firstLineChars="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备注：</w:t>
            </w:r>
          </w:p>
        </w:tc>
      </w:tr>
      <w:bookmarkEnd w:id="73"/>
      <w:bookmarkEnd w:id="74"/>
    </w:tbl>
    <w:p>
      <w:pPr>
        <w:widowControl/>
        <w:adjustRightInd w:val="0"/>
        <w:snapToGrid w:val="0"/>
        <w:spacing w:line="360" w:lineRule="auto"/>
        <w:ind w:left="0" w:leftChars="0" w:firstLine="0" w:firstLineChars="0"/>
        <w:jc w:val="left"/>
        <w:rPr>
          <w:rFonts w:hint="eastAsia" w:ascii="宋体" w:hAnsi="宋体" w:eastAsia="宋体" w:cs="宋体"/>
          <w:b/>
          <w:bCs/>
          <w:lang w:val="en-US" w:eastAsia="zh-CN"/>
        </w:rPr>
      </w:pPr>
    </w:p>
    <w:p>
      <w:pPr>
        <w:widowControl/>
        <w:adjustRightInd w:val="0"/>
        <w:snapToGrid w:val="0"/>
        <w:spacing w:line="360" w:lineRule="auto"/>
        <w:ind w:left="0" w:leftChars="0" w:firstLine="0" w:firstLineChars="0"/>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3.3.3主要原辅材料</w:t>
      </w:r>
    </w:p>
    <w:p>
      <w:pPr>
        <w:widowControl/>
        <w:adjustRightInd w:val="0"/>
        <w:snapToGrid w:val="0"/>
        <w:spacing w:line="360" w:lineRule="auto"/>
        <w:ind w:left="0" w:leftChars="0" w:firstLine="480" w:firstLineChars="200"/>
        <w:jc w:val="left"/>
        <w:rPr>
          <w:rFonts w:hint="eastAsia"/>
          <w:lang w:val="en-US" w:eastAsia="zh-CN"/>
        </w:rPr>
      </w:pPr>
      <w:r>
        <w:rPr>
          <w:rFonts w:hint="eastAsia" w:ascii="宋体" w:hAnsi="宋体" w:eastAsia="宋体" w:cs="宋体"/>
          <w:b w:val="0"/>
          <w:bCs w:val="0"/>
          <w:lang w:val="en-US" w:eastAsia="zh-CN"/>
        </w:rPr>
        <w:t>由于目前项目的养殖规模还未完全达到设计规模，所以</w:t>
      </w:r>
      <w:r>
        <w:rPr>
          <w:rFonts w:hint="eastAsia" w:ascii="宋体" w:hAnsi="宋体" w:eastAsia="宋体" w:cs="宋体"/>
        </w:rPr>
        <w:t>项目环评设计</w:t>
      </w:r>
      <w:r>
        <w:rPr>
          <w:rFonts w:hint="eastAsia" w:ascii="宋体" w:hAnsi="宋体" w:eastAsia="宋体" w:cs="宋体"/>
          <w:lang w:val="en-US" w:eastAsia="zh-CN"/>
        </w:rPr>
        <w:t>的原辅材料用量</w:t>
      </w:r>
      <w:r>
        <w:rPr>
          <w:rFonts w:hint="eastAsia" w:ascii="宋体" w:hAnsi="宋体" w:eastAsia="宋体" w:cs="宋体"/>
        </w:rPr>
        <w:t>与实际建设内容主要原辅材料用量</w:t>
      </w:r>
      <w:r>
        <w:rPr>
          <w:rFonts w:hint="eastAsia" w:ascii="宋体" w:hAnsi="宋体" w:eastAsia="宋体" w:cs="宋体"/>
          <w:lang w:val="en-US" w:eastAsia="zh-CN"/>
        </w:rPr>
        <w:t>有较大的出入，具体实际用量对照</w:t>
      </w:r>
      <w:r>
        <w:rPr>
          <w:rFonts w:hint="eastAsia" w:ascii="宋体" w:hAnsi="宋体" w:eastAsia="宋体" w:cs="宋体"/>
        </w:rPr>
        <w:t>见</w:t>
      </w:r>
      <w:r>
        <w:rPr>
          <w:rFonts w:hint="eastAsia" w:ascii="宋体" w:hAnsi="宋体" w:eastAsia="宋体" w:cs="宋体"/>
          <w:lang w:val="en-US" w:eastAsia="zh-CN"/>
        </w:rPr>
        <w:t>下</w:t>
      </w:r>
      <w:r>
        <w:rPr>
          <w:rFonts w:hint="eastAsia" w:ascii="宋体" w:hAnsi="宋体" w:eastAsia="宋体" w:cs="宋体"/>
        </w:rPr>
        <w:t>表</w:t>
      </w:r>
      <w:r>
        <w:rPr>
          <w:rFonts w:hint="eastAsia" w:ascii="宋体" w:hAnsi="宋体" w:eastAsia="宋体" w:cs="宋体"/>
          <w:lang w:eastAsia="zh-CN"/>
        </w:rPr>
        <w:t>。</w:t>
      </w:r>
    </w:p>
    <w:p>
      <w:pPr>
        <w:widowControl/>
        <w:adjustRightInd w:val="0"/>
        <w:snapToGrid w:val="0"/>
        <w:spacing w:line="360" w:lineRule="auto"/>
        <w:ind w:firstLine="482"/>
        <w:jc w:val="center"/>
        <w:rPr>
          <w:rFonts w:ascii="宋体" w:hAnsi="宋体" w:eastAsia="宋体" w:cs="宋体"/>
          <w:b/>
          <w:bCs/>
          <w:color w:val="000000"/>
        </w:rPr>
      </w:pPr>
      <w:r>
        <w:rPr>
          <w:rFonts w:hint="eastAsia" w:ascii="宋体" w:hAnsi="宋体" w:eastAsia="宋体" w:cs="宋体"/>
          <w:b/>
          <w:bCs/>
          <w:color w:val="000000"/>
        </w:rPr>
        <w:t>表3</w:t>
      </w:r>
      <w:r>
        <w:rPr>
          <w:rFonts w:hint="eastAsia" w:ascii="宋体" w:hAnsi="宋体" w:eastAsia="宋体" w:cs="宋体"/>
          <w:b/>
          <w:bCs/>
          <w:color w:val="000000"/>
          <w:lang w:val="en-US" w:eastAsia="zh-CN"/>
        </w:rPr>
        <w:t>.3</w:t>
      </w:r>
      <w:r>
        <w:rPr>
          <w:rFonts w:hint="eastAsia" w:ascii="宋体" w:hAnsi="宋体" w:eastAsia="宋体" w:cs="宋体"/>
          <w:b/>
          <w:bCs/>
          <w:color w:val="000000"/>
        </w:rPr>
        <w:t>-</w:t>
      </w:r>
      <w:r>
        <w:rPr>
          <w:rFonts w:hint="eastAsia" w:ascii="宋体" w:hAnsi="宋体" w:eastAsia="宋体" w:cs="宋体"/>
          <w:b/>
          <w:bCs/>
          <w:color w:val="000000"/>
          <w:lang w:val="en-US" w:eastAsia="zh-CN"/>
        </w:rPr>
        <w:t>4</w:t>
      </w:r>
      <w:r>
        <w:rPr>
          <w:rFonts w:hint="eastAsia" w:ascii="宋体" w:hAnsi="宋体" w:eastAsia="宋体" w:cs="宋体"/>
          <w:b/>
          <w:bCs/>
          <w:color w:val="000000"/>
        </w:rPr>
        <w:t xml:space="preserve">  项目主要原辅材料</w:t>
      </w:r>
      <w:r>
        <w:rPr>
          <w:rFonts w:hint="eastAsia" w:ascii="宋体" w:hAnsi="宋体" w:eastAsia="宋体" w:cs="宋体"/>
          <w:b/>
          <w:bCs/>
          <w:color w:val="000000"/>
          <w:lang w:val="en-US" w:eastAsia="zh-CN"/>
        </w:rPr>
        <w:t>一期</w:t>
      </w:r>
      <w:r>
        <w:rPr>
          <w:rFonts w:hint="eastAsia" w:ascii="宋体" w:hAnsi="宋体" w:eastAsia="宋体" w:cs="宋体"/>
          <w:b/>
          <w:bCs/>
          <w:color w:val="000000"/>
        </w:rPr>
        <w:t>用量对照一览表</w:t>
      </w:r>
    </w:p>
    <w:tbl>
      <w:tblPr>
        <w:tblStyle w:val="23"/>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2664"/>
        <w:gridCol w:w="993"/>
        <w:gridCol w:w="1275"/>
        <w:gridCol w:w="1276"/>
        <w:gridCol w:w="1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1" w:type="dxa"/>
            <w:vAlign w:val="center"/>
          </w:tcPr>
          <w:p>
            <w:pPr>
              <w:pStyle w:val="29"/>
              <w:adjustRightInd w:val="0"/>
              <w:spacing w:line="240" w:lineRule="auto"/>
              <w:ind w:firstLine="0" w:firstLineChars="0"/>
              <w:jc w:val="center"/>
              <w:rPr>
                <w:rFonts w:hint="eastAsia" w:ascii="宋体" w:hAnsi="宋体" w:eastAsia="宋体" w:cs="宋体"/>
                <w:b/>
                <w:bCs/>
                <w:sz w:val="21"/>
                <w:szCs w:val="21"/>
                <w:lang w:eastAsia="zh-CN"/>
              </w:rPr>
            </w:pPr>
            <w:r>
              <w:rPr>
                <w:rFonts w:hint="eastAsia" w:ascii="宋体" w:hAnsi="宋体" w:eastAsia="宋体" w:cs="宋体"/>
                <w:b/>
                <w:bCs/>
                <w:sz w:val="21"/>
                <w:szCs w:val="21"/>
                <w:lang w:val="en-US" w:eastAsia="zh-CN"/>
              </w:rPr>
              <w:t>项目</w:t>
            </w:r>
          </w:p>
        </w:tc>
        <w:tc>
          <w:tcPr>
            <w:tcW w:w="2664" w:type="dxa"/>
            <w:vAlign w:val="center"/>
          </w:tcPr>
          <w:p>
            <w:pPr>
              <w:pStyle w:val="29"/>
              <w:adjustRightInd w:val="0"/>
              <w:spacing w:line="240" w:lineRule="auto"/>
              <w:ind w:firstLine="0" w:firstLineChars="0"/>
              <w:jc w:val="center"/>
              <w:rPr>
                <w:rFonts w:ascii="宋体" w:hAnsi="宋体" w:eastAsia="宋体" w:cs="宋体"/>
                <w:sz w:val="21"/>
                <w:szCs w:val="21"/>
              </w:rPr>
            </w:pPr>
            <w:r>
              <w:rPr>
                <w:rFonts w:hint="eastAsia" w:ascii="宋体" w:hAnsi="宋体" w:eastAsia="宋体" w:cs="宋体"/>
                <w:b/>
                <w:bCs/>
                <w:sz w:val="21"/>
                <w:szCs w:val="21"/>
              </w:rPr>
              <w:t>材料名称</w:t>
            </w:r>
          </w:p>
        </w:tc>
        <w:tc>
          <w:tcPr>
            <w:tcW w:w="993" w:type="dxa"/>
            <w:vAlign w:val="center"/>
          </w:tcPr>
          <w:p>
            <w:pPr>
              <w:pStyle w:val="29"/>
              <w:adjustRightInd w:val="0"/>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单位</w:t>
            </w:r>
          </w:p>
        </w:tc>
        <w:tc>
          <w:tcPr>
            <w:tcW w:w="1275" w:type="dxa"/>
            <w:vAlign w:val="center"/>
          </w:tcPr>
          <w:p>
            <w:pPr>
              <w:pStyle w:val="29"/>
              <w:adjustRightInd w:val="0"/>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rPr>
              <w:t>环评用量</w:t>
            </w:r>
          </w:p>
        </w:tc>
        <w:tc>
          <w:tcPr>
            <w:tcW w:w="1276" w:type="dxa"/>
            <w:vAlign w:val="center"/>
          </w:tcPr>
          <w:p>
            <w:pPr>
              <w:pStyle w:val="29"/>
              <w:adjustRightInd w:val="0"/>
              <w:spacing w:line="240" w:lineRule="auto"/>
              <w:ind w:firstLine="0" w:firstLineChars="0"/>
              <w:jc w:val="center"/>
              <w:rPr>
                <w:rFonts w:ascii="宋体" w:hAnsi="宋体" w:eastAsia="宋体" w:cs="宋体"/>
                <w:b/>
                <w:bCs/>
                <w:sz w:val="21"/>
                <w:szCs w:val="21"/>
              </w:rPr>
            </w:pPr>
            <w:r>
              <w:rPr>
                <w:rFonts w:hint="eastAsia" w:ascii="宋体" w:hAnsi="宋体" w:eastAsia="宋体" w:cs="宋体"/>
                <w:b/>
                <w:bCs/>
                <w:sz w:val="21"/>
                <w:szCs w:val="21"/>
                <w:lang w:val="en-US" w:eastAsia="zh-CN"/>
              </w:rPr>
              <w:t>一期</w:t>
            </w:r>
            <w:r>
              <w:rPr>
                <w:rFonts w:hint="eastAsia" w:ascii="宋体" w:hAnsi="宋体" w:eastAsia="宋体" w:cs="宋体"/>
                <w:b/>
                <w:bCs/>
                <w:sz w:val="21"/>
                <w:szCs w:val="21"/>
              </w:rPr>
              <w:t>用量</w:t>
            </w:r>
          </w:p>
        </w:tc>
        <w:tc>
          <w:tcPr>
            <w:tcW w:w="1305" w:type="dxa"/>
            <w:vAlign w:val="center"/>
          </w:tcPr>
          <w:p>
            <w:pPr>
              <w:pStyle w:val="29"/>
              <w:adjustRightInd w:val="0"/>
              <w:spacing w:line="240" w:lineRule="auto"/>
              <w:ind w:firstLine="0" w:firstLineChars="0"/>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rPr>
              <w:t>情况</w:t>
            </w:r>
            <w:r>
              <w:rPr>
                <w:rFonts w:hint="eastAsia" w:ascii="宋体" w:hAnsi="宋体" w:eastAsia="宋体" w:cs="宋体"/>
                <w:b/>
                <w:bCs/>
                <w:sz w:val="21"/>
                <w:szCs w:val="21"/>
                <w:lang w:val="en-US" w:eastAsia="zh-CN"/>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851" w:type="dxa"/>
            <w:vMerge w:val="restart"/>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rPr>
            </w:pPr>
            <w:bookmarkStart w:id="75" w:name="_Toc5683"/>
            <w:bookmarkStart w:id="76" w:name="_Toc17532"/>
            <w:bookmarkStart w:id="77" w:name="_Toc19075"/>
            <w:bookmarkStart w:id="78" w:name="_Toc26165"/>
            <w:r>
              <w:rPr>
                <w:rFonts w:hint="eastAsia" w:asciiTheme="minorEastAsia" w:hAnsiTheme="minorEastAsia" w:eastAsiaTheme="minorEastAsia" w:cstheme="minorEastAsia"/>
                <w:color w:val="000000"/>
                <w:kern w:val="0"/>
                <w:sz w:val="21"/>
                <w:szCs w:val="21"/>
                <w:lang w:val="en-US" w:eastAsia="zh-CN" w:bidi="ar"/>
              </w:rPr>
              <w:t>饲料</w:t>
            </w:r>
          </w:p>
          <w:p>
            <w:pPr>
              <w:pStyle w:val="29"/>
              <w:numPr>
                <w:ilvl w:val="0"/>
                <w:numId w:val="0"/>
              </w:numPr>
              <w:adjustRightInd w:val="0"/>
              <w:spacing w:line="240" w:lineRule="auto"/>
              <w:ind w:leftChars="0"/>
              <w:jc w:val="center"/>
              <w:rPr>
                <w:rFonts w:hint="eastAsia" w:asciiTheme="minorEastAsia" w:hAnsiTheme="minorEastAsia" w:eastAsiaTheme="minorEastAsia" w:cstheme="minorEastAsia"/>
                <w:sz w:val="21"/>
                <w:szCs w:val="21"/>
              </w:rPr>
            </w:pPr>
          </w:p>
        </w:tc>
        <w:tc>
          <w:tcPr>
            <w:tcW w:w="2664"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精饲料</w:t>
            </w:r>
          </w:p>
        </w:tc>
        <w:tc>
          <w:tcPr>
            <w:tcW w:w="993" w:type="dxa"/>
            <w:vAlign w:val="center"/>
          </w:tcPr>
          <w:p>
            <w:pPr>
              <w:adjustRightInd w:val="0"/>
              <w:spacing w:line="240" w:lineRule="auto"/>
              <w:ind w:left="0" w:leftChars="0" w:firstLine="210" w:firstLineChars="100"/>
              <w:jc w:val="both"/>
              <w:rPr>
                <w:rFonts w:ascii="宋体" w:hAnsi="宋体" w:eastAsia="宋体" w:cs="宋体"/>
                <w:sz w:val="21"/>
                <w:szCs w:val="21"/>
              </w:rPr>
            </w:pPr>
            <w:r>
              <w:rPr>
                <w:rFonts w:hint="eastAsia" w:ascii="宋体" w:hAnsi="宋体" w:eastAsia="宋体" w:cs="宋体"/>
                <w:sz w:val="21"/>
                <w:szCs w:val="21"/>
              </w:rPr>
              <w:t>t/a</w:t>
            </w:r>
          </w:p>
        </w:tc>
        <w:tc>
          <w:tcPr>
            <w:tcW w:w="1275" w:type="dxa"/>
            <w:vAlign w:val="center"/>
          </w:tcPr>
          <w:p>
            <w:pPr>
              <w:pStyle w:val="29"/>
              <w:adjustRightInd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1679</w:t>
            </w:r>
          </w:p>
        </w:tc>
        <w:tc>
          <w:tcPr>
            <w:tcW w:w="1276" w:type="dxa"/>
            <w:vAlign w:val="center"/>
          </w:tcPr>
          <w:p>
            <w:pPr>
              <w:pStyle w:val="29"/>
              <w:adjustRightInd w:val="0"/>
              <w:spacing w:line="240" w:lineRule="auto"/>
              <w:ind w:firstLine="420" w:firstLineChars="200"/>
              <w:jc w:val="both"/>
              <w:rPr>
                <w:rFonts w:ascii="宋体" w:hAnsi="宋体" w:eastAsia="宋体" w:cs="宋体"/>
                <w:sz w:val="21"/>
                <w:szCs w:val="21"/>
              </w:rPr>
            </w:pPr>
            <w:r>
              <w:rPr>
                <w:rFonts w:hint="eastAsia" w:ascii="宋体" w:hAnsi="宋体" w:eastAsia="宋体" w:cs="宋体"/>
                <w:sz w:val="21"/>
                <w:szCs w:val="21"/>
                <w:lang w:val="en-US" w:eastAsia="zh-CN"/>
              </w:rPr>
              <w:t>700.6</w:t>
            </w:r>
          </w:p>
        </w:tc>
        <w:tc>
          <w:tcPr>
            <w:tcW w:w="1305" w:type="dxa"/>
            <w:vAlign w:val="center"/>
          </w:tcPr>
          <w:p>
            <w:pPr>
              <w:pStyle w:val="29"/>
              <w:adjustRightInd w:val="0"/>
              <w:spacing w:line="240" w:lineRule="auto"/>
              <w:ind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851" w:type="dxa"/>
            <w:vMerge w:val="continue"/>
            <w:vAlign w:val="center"/>
          </w:tcPr>
          <w:p>
            <w:pPr>
              <w:pStyle w:val="29"/>
              <w:adjustRightInd w:val="0"/>
              <w:spacing w:line="240" w:lineRule="auto"/>
              <w:ind w:firstLineChars="0"/>
              <w:jc w:val="center"/>
              <w:rPr>
                <w:rFonts w:hint="eastAsia" w:asciiTheme="minorEastAsia" w:hAnsiTheme="minorEastAsia" w:eastAsiaTheme="minorEastAsia" w:cstheme="minorEastAsia"/>
                <w:sz w:val="21"/>
                <w:szCs w:val="21"/>
              </w:rPr>
            </w:pPr>
          </w:p>
        </w:tc>
        <w:tc>
          <w:tcPr>
            <w:tcW w:w="2664"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青储饲料</w:t>
            </w:r>
          </w:p>
        </w:tc>
        <w:tc>
          <w:tcPr>
            <w:tcW w:w="993" w:type="dxa"/>
            <w:vAlign w:val="center"/>
          </w:tcPr>
          <w:p>
            <w:pPr>
              <w:adjustRightInd w:val="0"/>
              <w:spacing w:line="240" w:lineRule="auto"/>
              <w:ind w:left="0" w:leftChars="0" w:firstLine="210" w:firstLineChars="100"/>
              <w:jc w:val="both"/>
              <w:rPr>
                <w:rFonts w:ascii="宋体" w:hAnsi="宋体" w:eastAsia="宋体" w:cs="宋体"/>
                <w:sz w:val="21"/>
                <w:szCs w:val="21"/>
              </w:rPr>
            </w:pPr>
            <w:r>
              <w:rPr>
                <w:rFonts w:hint="eastAsia" w:ascii="宋体" w:hAnsi="宋体" w:eastAsia="宋体" w:cs="宋体"/>
                <w:sz w:val="21"/>
                <w:szCs w:val="21"/>
              </w:rPr>
              <w:t>t/a</w:t>
            </w:r>
          </w:p>
        </w:tc>
        <w:tc>
          <w:tcPr>
            <w:tcW w:w="1275" w:type="dxa"/>
            <w:vAlign w:val="center"/>
          </w:tcPr>
          <w:p>
            <w:pPr>
              <w:pStyle w:val="29"/>
              <w:adjustRightInd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6570</w:t>
            </w:r>
          </w:p>
        </w:tc>
        <w:tc>
          <w:tcPr>
            <w:tcW w:w="1276" w:type="dxa"/>
            <w:vAlign w:val="center"/>
          </w:tcPr>
          <w:p>
            <w:pPr>
              <w:pStyle w:val="29"/>
              <w:adjustRightInd w:val="0"/>
              <w:spacing w:line="240" w:lineRule="auto"/>
              <w:ind w:firstLine="0" w:firstLineChars="0"/>
              <w:jc w:val="center"/>
              <w:rPr>
                <w:rFonts w:hint="default" w:ascii="宋体" w:hAnsi="宋体" w:eastAsia="宋体" w:cs="宋体"/>
                <w:sz w:val="21"/>
                <w:szCs w:val="21"/>
                <w:lang w:val="en-US"/>
              </w:rPr>
            </w:pPr>
            <w:r>
              <w:rPr>
                <w:rFonts w:hint="eastAsia" w:ascii="宋体" w:hAnsi="宋体" w:eastAsia="宋体" w:cs="宋体"/>
                <w:sz w:val="21"/>
                <w:szCs w:val="21"/>
                <w:lang w:val="en-US" w:eastAsia="zh-CN"/>
              </w:rPr>
              <w:t>2500</w:t>
            </w:r>
          </w:p>
        </w:tc>
        <w:tc>
          <w:tcPr>
            <w:tcW w:w="1305" w:type="dxa"/>
            <w:vAlign w:val="center"/>
          </w:tcPr>
          <w:p>
            <w:pPr>
              <w:pStyle w:val="29"/>
              <w:adjustRightInd w:val="0"/>
              <w:spacing w:line="240" w:lineRule="auto"/>
              <w:ind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1" w:type="dxa"/>
            <w:vMerge w:val="continue"/>
            <w:vAlign w:val="center"/>
          </w:tcPr>
          <w:p>
            <w:pPr>
              <w:pStyle w:val="29"/>
              <w:adjustRightInd w:val="0"/>
              <w:spacing w:line="240" w:lineRule="auto"/>
              <w:ind w:firstLineChars="0"/>
              <w:jc w:val="center"/>
              <w:rPr>
                <w:rFonts w:hint="eastAsia" w:asciiTheme="minorEastAsia" w:hAnsiTheme="minorEastAsia" w:eastAsiaTheme="minorEastAsia" w:cstheme="minorEastAsia"/>
                <w:sz w:val="21"/>
                <w:szCs w:val="21"/>
              </w:rPr>
            </w:pPr>
          </w:p>
        </w:tc>
        <w:tc>
          <w:tcPr>
            <w:tcW w:w="2664"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干草料</w:t>
            </w:r>
          </w:p>
        </w:tc>
        <w:tc>
          <w:tcPr>
            <w:tcW w:w="993" w:type="dxa"/>
            <w:vAlign w:val="center"/>
          </w:tcPr>
          <w:p>
            <w:pPr>
              <w:adjustRightInd w:val="0"/>
              <w:spacing w:line="240" w:lineRule="auto"/>
              <w:ind w:left="0" w:leftChars="0" w:firstLine="210" w:firstLineChars="100"/>
              <w:jc w:val="both"/>
              <w:rPr>
                <w:rFonts w:ascii="宋体" w:hAnsi="宋体" w:eastAsia="宋体" w:cs="宋体"/>
                <w:sz w:val="21"/>
                <w:szCs w:val="21"/>
              </w:rPr>
            </w:pPr>
            <w:r>
              <w:rPr>
                <w:rFonts w:hint="eastAsia" w:ascii="宋体" w:hAnsi="宋体" w:eastAsia="宋体" w:cs="宋体"/>
                <w:sz w:val="21"/>
                <w:szCs w:val="21"/>
              </w:rPr>
              <w:t>t/a</w:t>
            </w:r>
          </w:p>
        </w:tc>
        <w:tc>
          <w:tcPr>
            <w:tcW w:w="1275" w:type="dxa"/>
            <w:vAlign w:val="center"/>
          </w:tcPr>
          <w:p>
            <w:pPr>
              <w:pStyle w:val="29"/>
              <w:adjustRightInd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3285</w:t>
            </w:r>
          </w:p>
        </w:tc>
        <w:tc>
          <w:tcPr>
            <w:tcW w:w="1276" w:type="dxa"/>
            <w:vAlign w:val="center"/>
          </w:tcPr>
          <w:p>
            <w:pPr>
              <w:pStyle w:val="29"/>
              <w:adjustRightInd w:val="0"/>
              <w:spacing w:line="240" w:lineRule="auto"/>
              <w:ind w:firstLine="0" w:firstLineChars="0"/>
              <w:jc w:val="center"/>
              <w:rPr>
                <w:rFonts w:hint="default" w:ascii="宋体" w:hAnsi="宋体" w:eastAsia="宋体" w:cs="宋体"/>
                <w:sz w:val="21"/>
                <w:szCs w:val="21"/>
                <w:lang w:val="en-US"/>
              </w:rPr>
            </w:pPr>
            <w:r>
              <w:rPr>
                <w:rFonts w:hint="eastAsia" w:ascii="宋体" w:hAnsi="宋体" w:eastAsia="宋体" w:cs="宋体"/>
                <w:sz w:val="21"/>
                <w:szCs w:val="21"/>
                <w:lang w:val="en-US" w:eastAsia="zh-CN"/>
              </w:rPr>
              <w:t>1420</w:t>
            </w:r>
          </w:p>
        </w:tc>
        <w:tc>
          <w:tcPr>
            <w:tcW w:w="1305" w:type="dxa"/>
            <w:vAlign w:val="center"/>
          </w:tcPr>
          <w:p>
            <w:pPr>
              <w:pStyle w:val="29"/>
              <w:adjustRightInd w:val="0"/>
              <w:spacing w:line="240" w:lineRule="auto"/>
              <w:ind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1" w:type="dxa"/>
            <w:vMerge w:val="restart"/>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辅料</w:t>
            </w:r>
          </w:p>
          <w:p>
            <w:pPr>
              <w:pStyle w:val="29"/>
              <w:numPr>
                <w:ilvl w:val="0"/>
                <w:numId w:val="0"/>
              </w:numPr>
              <w:adjustRightInd w:val="0"/>
              <w:spacing w:line="240" w:lineRule="auto"/>
              <w:ind w:leftChars="0"/>
              <w:jc w:val="center"/>
              <w:rPr>
                <w:rFonts w:hint="eastAsia" w:asciiTheme="minorEastAsia" w:hAnsiTheme="minorEastAsia" w:eastAsiaTheme="minorEastAsia" w:cstheme="minorEastAsia"/>
                <w:sz w:val="21"/>
                <w:szCs w:val="21"/>
              </w:rPr>
            </w:pPr>
          </w:p>
        </w:tc>
        <w:tc>
          <w:tcPr>
            <w:tcW w:w="2664"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消毒剂</w:t>
            </w:r>
          </w:p>
        </w:tc>
        <w:tc>
          <w:tcPr>
            <w:tcW w:w="993" w:type="dxa"/>
            <w:vAlign w:val="center"/>
          </w:tcPr>
          <w:p>
            <w:pPr>
              <w:adjustRightInd w:val="0"/>
              <w:spacing w:line="240" w:lineRule="auto"/>
              <w:ind w:left="0" w:leftChars="0" w:firstLine="210" w:firstLineChars="100"/>
              <w:jc w:val="both"/>
              <w:rPr>
                <w:rFonts w:ascii="宋体" w:hAnsi="宋体" w:eastAsia="宋体" w:cs="宋体"/>
                <w:sz w:val="21"/>
                <w:szCs w:val="21"/>
              </w:rPr>
            </w:pPr>
            <w:r>
              <w:rPr>
                <w:rFonts w:hint="eastAsia" w:ascii="宋体" w:hAnsi="宋体" w:eastAsia="宋体" w:cs="宋体"/>
                <w:sz w:val="21"/>
                <w:szCs w:val="21"/>
              </w:rPr>
              <w:t>t/a</w:t>
            </w:r>
          </w:p>
        </w:tc>
        <w:tc>
          <w:tcPr>
            <w:tcW w:w="1275" w:type="dxa"/>
            <w:vAlign w:val="center"/>
          </w:tcPr>
          <w:p>
            <w:pPr>
              <w:pStyle w:val="29"/>
              <w:adjustRightInd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1276" w:type="dxa"/>
            <w:vAlign w:val="center"/>
          </w:tcPr>
          <w:p>
            <w:pPr>
              <w:pStyle w:val="29"/>
              <w:adjustRightInd w:val="0"/>
              <w:spacing w:line="240" w:lineRule="auto"/>
              <w:ind w:firstLine="0" w:firstLineChars="0"/>
              <w:jc w:val="center"/>
              <w:rPr>
                <w:rFonts w:hint="default" w:ascii="宋体" w:hAnsi="宋体" w:eastAsia="宋体" w:cs="宋体"/>
                <w:sz w:val="21"/>
                <w:szCs w:val="21"/>
                <w:lang w:val="en-US"/>
              </w:rPr>
            </w:pPr>
            <w:r>
              <w:rPr>
                <w:rFonts w:hint="eastAsia" w:ascii="宋体" w:hAnsi="宋体" w:eastAsia="宋体" w:cs="宋体"/>
                <w:sz w:val="21"/>
                <w:szCs w:val="21"/>
                <w:lang w:val="en-US" w:eastAsia="zh-CN"/>
              </w:rPr>
              <w:t>0.18</w:t>
            </w:r>
          </w:p>
        </w:tc>
        <w:tc>
          <w:tcPr>
            <w:tcW w:w="1305" w:type="dxa"/>
            <w:vAlign w:val="center"/>
          </w:tcPr>
          <w:p>
            <w:pPr>
              <w:pStyle w:val="29"/>
              <w:adjustRightInd w:val="0"/>
              <w:spacing w:line="240" w:lineRule="auto"/>
              <w:ind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1" w:type="dxa"/>
            <w:vMerge w:val="continue"/>
            <w:vAlign w:val="center"/>
          </w:tcPr>
          <w:p>
            <w:pPr>
              <w:pStyle w:val="29"/>
              <w:adjustRightInd w:val="0"/>
              <w:spacing w:line="240" w:lineRule="auto"/>
              <w:ind w:firstLineChars="0"/>
              <w:jc w:val="center"/>
              <w:rPr>
                <w:rFonts w:ascii="宋体" w:hAnsi="宋体" w:eastAsia="宋体" w:cs="宋体"/>
                <w:sz w:val="21"/>
                <w:szCs w:val="21"/>
              </w:rPr>
            </w:pPr>
          </w:p>
        </w:tc>
        <w:tc>
          <w:tcPr>
            <w:tcW w:w="2664"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兽药</w:t>
            </w:r>
          </w:p>
        </w:tc>
        <w:tc>
          <w:tcPr>
            <w:tcW w:w="993" w:type="dxa"/>
            <w:vAlign w:val="center"/>
          </w:tcPr>
          <w:p>
            <w:pPr>
              <w:adjustRightInd w:val="0"/>
              <w:spacing w:line="240" w:lineRule="auto"/>
              <w:ind w:left="0" w:leftChars="0" w:firstLine="210" w:firstLineChars="100"/>
              <w:jc w:val="both"/>
              <w:rPr>
                <w:rFonts w:ascii="宋体" w:hAnsi="宋体" w:eastAsia="宋体" w:cs="宋体"/>
                <w:sz w:val="21"/>
                <w:szCs w:val="21"/>
              </w:rPr>
            </w:pPr>
            <w:r>
              <w:rPr>
                <w:rFonts w:hint="eastAsia" w:ascii="宋体" w:hAnsi="宋体" w:eastAsia="宋体" w:cs="宋体"/>
                <w:sz w:val="21"/>
                <w:szCs w:val="21"/>
              </w:rPr>
              <w:t>t/a</w:t>
            </w:r>
          </w:p>
        </w:tc>
        <w:tc>
          <w:tcPr>
            <w:tcW w:w="1275" w:type="dxa"/>
            <w:vAlign w:val="center"/>
          </w:tcPr>
          <w:p>
            <w:pPr>
              <w:pStyle w:val="29"/>
              <w:adjustRightInd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0.2</w:t>
            </w:r>
          </w:p>
        </w:tc>
        <w:tc>
          <w:tcPr>
            <w:tcW w:w="1276" w:type="dxa"/>
            <w:vAlign w:val="center"/>
          </w:tcPr>
          <w:p>
            <w:pPr>
              <w:pStyle w:val="29"/>
              <w:adjustRightIn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lang w:val="en-US" w:eastAsia="zh-CN"/>
              </w:rPr>
              <w:t>0.08</w:t>
            </w:r>
          </w:p>
        </w:tc>
        <w:tc>
          <w:tcPr>
            <w:tcW w:w="1305" w:type="dxa"/>
            <w:vAlign w:val="center"/>
          </w:tcPr>
          <w:p>
            <w:pPr>
              <w:pStyle w:val="29"/>
              <w:adjustRightInd w:val="0"/>
              <w:spacing w:line="240" w:lineRule="auto"/>
              <w:ind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1" w:type="dxa"/>
            <w:vMerge w:val="continue"/>
            <w:vAlign w:val="center"/>
          </w:tcPr>
          <w:p>
            <w:pPr>
              <w:pStyle w:val="29"/>
              <w:adjustRightInd w:val="0"/>
              <w:spacing w:line="240" w:lineRule="auto"/>
              <w:ind w:firstLineChars="0"/>
              <w:jc w:val="center"/>
              <w:rPr>
                <w:rFonts w:ascii="宋体" w:hAnsi="宋体" w:eastAsia="宋体" w:cs="宋体"/>
                <w:sz w:val="21"/>
                <w:szCs w:val="21"/>
              </w:rPr>
            </w:pPr>
          </w:p>
        </w:tc>
        <w:tc>
          <w:tcPr>
            <w:tcW w:w="2664"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除臭剂</w:t>
            </w:r>
          </w:p>
        </w:tc>
        <w:tc>
          <w:tcPr>
            <w:tcW w:w="993" w:type="dxa"/>
            <w:vAlign w:val="center"/>
          </w:tcPr>
          <w:p>
            <w:pPr>
              <w:adjustRightInd w:val="0"/>
              <w:spacing w:line="240" w:lineRule="auto"/>
              <w:ind w:left="0" w:leftChars="0" w:firstLine="210" w:firstLineChars="100"/>
              <w:jc w:val="both"/>
              <w:rPr>
                <w:rFonts w:ascii="宋体" w:hAnsi="宋体" w:eastAsia="宋体" w:cs="宋体"/>
                <w:sz w:val="21"/>
                <w:szCs w:val="21"/>
              </w:rPr>
            </w:pPr>
            <w:r>
              <w:rPr>
                <w:rFonts w:hint="eastAsia" w:ascii="宋体" w:hAnsi="宋体" w:eastAsia="宋体" w:cs="宋体"/>
                <w:sz w:val="21"/>
                <w:szCs w:val="21"/>
              </w:rPr>
              <w:t>t/a</w:t>
            </w:r>
          </w:p>
        </w:tc>
        <w:tc>
          <w:tcPr>
            <w:tcW w:w="1275" w:type="dxa"/>
            <w:vAlign w:val="center"/>
          </w:tcPr>
          <w:p>
            <w:pPr>
              <w:pStyle w:val="29"/>
              <w:adjustRightInd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4.0</w:t>
            </w:r>
          </w:p>
        </w:tc>
        <w:tc>
          <w:tcPr>
            <w:tcW w:w="1276" w:type="dxa"/>
            <w:vAlign w:val="center"/>
          </w:tcPr>
          <w:p>
            <w:pPr>
              <w:pStyle w:val="29"/>
              <w:adjustRightIn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lang w:val="en-US" w:eastAsia="zh-CN"/>
              </w:rPr>
              <w:t>1.2</w:t>
            </w:r>
          </w:p>
        </w:tc>
        <w:tc>
          <w:tcPr>
            <w:tcW w:w="1305" w:type="dxa"/>
            <w:vAlign w:val="center"/>
          </w:tcPr>
          <w:p>
            <w:pPr>
              <w:pStyle w:val="29"/>
              <w:adjustRightInd w:val="0"/>
              <w:spacing w:line="240" w:lineRule="auto"/>
              <w:ind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1" w:type="dxa"/>
            <w:vMerge w:val="continue"/>
            <w:vAlign w:val="center"/>
          </w:tcPr>
          <w:p>
            <w:pPr>
              <w:pStyle w:val="29"/>
              <w:adjustRightInd w:val="0"/>
              <w:spacing w:line="240" w:lineRule="auto"/>
              <w:ind w:firstLineChars="0"/>
              <w:jc w:val="center"/>
              <w:rPr>
                <w:rFonts w:ascii="宋体" w:hAnsi="宋体" w:eastAsia="宋体" w:cs="宋体"/>
                <w:sz w:val="21"/>
                <w:szCs w:val="21"/>
              </w:rPr>
            </w:pPr>
          </w:p>
        </w:tc>
        <w:tc>
          <w:tcPr>
            <w:tcW w:w="2664"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锯末垫料</w:t>
            </w:r>
          </w:p>
        </w:tc>
        <w:tc>
          <w:tcPr>
            <w:tcW w:w="993" w:type="dxa"/>
            <w:vAlign w:val="center"/>
          </w:tcPr>
          <w:p>
            <w:pPr>
              <w:adjustRightInd w:val="0"/>
              <w:spacing w:line="240" w:lineRule="auto"/>
              <w:ind w:left="0" w:leftChars="0" w:firstLine="210" w:firstLineChars="100"/>
              <w:jc w:val="both"/>
              <w:rPr>
                <w:rFonts w:ascii="宋体" w:hAnsi="宋体" w:eastAsia="宋体" w:cs="宋体"/>
                <w:sz w:val="21"/>
                <w:szCs w:val="21"/>
              </w:rPr>
            </w:pPr>
            <w:r>
              <w:rPr>
                <w:rFonts w:hint="eastAsia" w:ascii="宋体" w:hAnsi="宋体" w:eastAsia="宋体" w:cs="宋体"/>
                <w:sz w:val="21"/>
                <w:szCs w:val="21"/>
              </w:rPr>
              <w:t>t/a</w:t>
            </w:r>
          </w:p>
        </w:tc>
        <w:tc>
          <w:tcPr>
            <w:tcW w:w="1275" w:type="dxa"/>
            <w:vAlign w:val="center"/>
          </w:tcPr>
          <w:p>
            <w:pPr>
              <w:pStyle w:val="29"/>
              <w:adjustRightInd w:val="0"/>
              <w:spacing w:line="240" w:lineRule="auto"/>
              <w:ind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w:t>
            </w:r>
          </w:p>
        </w:tc>
        <w:tc>
          <w:tcPr>
            <w:tcW w:w="1276" w:type="dxa"/>
            <w:vAlign w:val="center"/>
          </w:tcPr>
          <w:p>
            <w:pPr>
              <w:pStyle w:val="29"/>
              <w:adjustRightIn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lang w:val="en-US" w:eastAsia="zh-CN"/>
              </w:rPr>
              <w:t>1.5</w:t>
            </w:r>
          </w:p>
        </w:tc>
        <w:tc>
          <w:tcPr>
            <w:tcW w:w="1305" w:type="dxa"/>
            <w:vAlign w:val="center"/>
          </w:tcPr>
          <w:p>
            <w:pPr>
              <w:pStyle w:val="29"/>
              <w:adjustRightInd w:val="0"/>
              <w:spacing w:line="240" w:lineRule="auto"/>
              <w:ind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1" w:type="dxa"/>
            <w:vMerge w:val="continue"/>
            <w:vAlign w:val="center"/>
          </w:tcPr>
          <w:p>
            <w:pPr>
              <w:pStyle w:val="29"/>
              <w:adjustRightInd w:val="0"/>
              <w:spacing w:line="240" w:lineRule="auto"/>
              <w:ind w:firstLineChars="0"/>
              <w:jc w:val="center"/>
              <w:rPr>
                <w:rFonts w:ascii="宋体" w:hAnsi="宋体" w:eastAsia="宋体" w:cs="宋体"/>
                <w:sz w:val="21"/>
                <w:szCs w:val="21"/>
              </w:rPr>
            </w:pPr>
          </w:p>
        </w:tc>
        <w:tc>
          <w:tcPr>
            <w:tcW w:w="2664"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脱硫剂</w:t>
            </w:r>
          </w:p>
        </w:tc>
        <w:tc>
          <w:tcPr>
            <w:tcW w:w="993" w:type="dxa"/>
            <w:vAlign w:val="center"/>
          </w:tcPr>
          <w:p>
            <w:pPr>
              <w:pStyle w:val="29"/>
              <w:adjustRightInd w:val="0"/>
              <w:spacing w:line="240" w:lineRule="auto"/>
              <w:ind w:firstLine="0" w:firstLineChars="0"/>
              <w:jc w:val="center"/>
              <w:rPr>
                <w:rFonts w:ascii="宋体" w:hAnsi="宋体" w:eastAsia="宋体" w:cs="宋体"/>
                <w:sz w:val="21"/>
                <w:szCs w:val="21"/>
              </w:rPr>
            </w:pPr>
            <w:r>
              <w:rPr>
                <w:rFonts w:ascii="宋体" w:hAnsi="宋体" w:eastAsia="宋体" w:cs="宋体"/>
                <w:sz w:val="21"/>
                <w:szCs w:val="21"/>
              </w:rPr>
              <w:t>t/a</w:t>
            </w:r>
          </w:p>
        </w:tc>
        <w:tc>
          <w:tcPr>
            <w:tcW w:w="1275" w:type="dxa"/>
            <w:vAlign w:val="center"/>
          </w:tcPr>
          <w:p>
            <w:pPr>
              <w:pStyle w:val="29"/>
              <w:adjustRightInd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1276" w:type="dxa"/>
            <w:vAlign w:val="center"/>
          </w:tcPr>
          <w:p>
            <w:pPr>
              <w:pStyle w:val="29"/>
              <w:adjustRightInd w:val="0"/>
              <w:spacing w:line="240" w:lineRule="auto"/>
              <w:ind w:firstLine="0" w:firstLineChars="0"/>
              <w:jc w:val="center"/>
              <w:rPr>
                <w:rFonts w:hint="default" w:ascii="宋体" w:hAnsi="宋体" w:eastAsia="宋体" w:cs="宋体"/>
                <w:sz w:val="21"/>
                <w:szCs w:val="21"/>
                <w:lang w:val="en-US"/>
              </w:rPr>
            </w:pPr>
            <w:r>
              <w:rPr>
                <w:rFonts w:hint="eastAsia" w:ascii="宋体" w:hAnsi="宋体" w:eastAsia="宋体" w:cs="宋体"/>
                <w:sz w:val="21"/>
                <w:szCs w:val="21"/>
                <w:lang w:val="en-US" w:eastAsia="zh-CN"/>
              </w:rPr>
              <w:t>未使用</w:t>
            </w:r>
          </w:p>
        </w:tc>
        <w:tc>
          <w:tcPr>
            <w:tcW w:w="1305" w:type="dxa"/>
            <w:vAlign w:val="center"/>
          </w:tcPr>
          <w:p>
            <w:pPr>
              <w:pStyle w:val="29"/>
              <w:adjustRightInd w:val="0"/>
              <w:spacing w:line="240" w:lineRule="auto"/>
              <w:ind w:firstLine="0" w:firstLineChars="0"/>
              <w:jc w:val="center"/>
              <w:rPr>
                <w:rFonts w:hint="default" w:ascii="宋体" w:hAnsi="宋体" w:eastAsia="宋体" w:cs="宋体"/>
                <w:sz w:val="21"/>
                <w:szCs w:val="21"/>
                <w:lang w:val="en-US"/>
              </w:rPr>
            </w:pPr>
            <w:r>
              <w:rPr>
                <w:rFonts w:hint="eastAsia" w:ascii="宋体" w:hAnsi="宋体" w:eastAsia="宋体" w:cs="宋体"/>
                <w:sz w:val="21"/>
                <w:szCs w:val="21"/>
                <w:lang w:val="en-US" w:eastAsia="zh-CN"/>
              </w:rPr>
              <w:t>项目变更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1" w:type="dxa"/>
            <w:vMerge w:val="continue"/>
            <w:vAlign w:val="center"/>
          </w:tcPr>
          <w:p>
            <w:pPr>
              <w:pStyle w:val="29"/>
              <w:adjustRightInd w:val="0"/>
              <w:spacing w:line="240" w:lineRule="auto"/>
              <w:ind w:firstLineChars="0"/>
              <w:jc w:val="center"/>
              <w:rPr>
                <w:rFonts w:ascii="宋体" w:hAnsi="宋体" w:eastAsia="宋体" w:cs="宋体"/>
                <w:sz w:val="21"/>
                <w:szCs w:val="21"/>
              </w:rPr>
            </w:pPr>
          </w:p>
        </w:tc>
        <w:tc>
          <w:tcPr>
            <w:tcW w:w="2664"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塑料膜</w:t>
            </w:r>
          </w:p>
        </w:tc>
        <w:tc>
          <w:tcPr>
            <w:tcW w:w="993" w:type="dxa"/>
            <w:vAlign w:val="center"/>
          </w:tcPr>
          <w:p>
            <w:pPr>
              <w:pStyle w:val="29"/>
              <w:adjustRightIn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t/a</w:t>
            </w:r>
          </w:p>
        </w:tc>
        <w:tc>
          <w:tcPr>
            <w:tcW w:w="1275" w:type="dxa"/>
            <w:vAlign w:val="center"/>
          </w:tcPr>
          <w:p>
            <w:pPr>
              <w:pStyle w:val="29"/>
              <w:adjustRightInd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0.05</w:t>
            </w:r>
          </w:p>
        </w:tc>
        <w:tc>
          <w:tcPr>
            <w:tcW w:w="1276" w:type="dxa"/>
            <w:vAlign w:val="center"/>
          </w:tcPr>
          <w:p>
            <w:pPr>
              <w:pStyle w:val="29"/>
              <w:adjustRightIn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lang w:val="en-US" w:eastAsia="zh-CN"/>
              </w:rPr>
              <w:t>0.02</w:t>
            </w:r>
          </w:p>
        </w:tc>
        <w:tc>
          <w:tcPr>
            <w:tcW w:w="1305" w:type="dxa"/>
            <w:vAlign w:val="center"/>
          </w:tcPr>
          <w:p>
            <w:pPr>
              <w:pStyle w:val="29"/>
              <w:adjustRightInd w:val="0"/>
              <w:spacing w:line="240" w:lineRule="auto"/>
              <w:ind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1" w:type="dxa"/>
            <w:vMerge w:val="continue"/>
            <w:vAlign w:val="center"/>
          </w:tcPr>
          <w:p>
            <w:pPr>
              <w:pStyle w:val="29"/>
              <w:adjustRightInd w:val="0"/>
              <w:spacing w:line="240" w:lineRule="auto"/>
              <w:ind w:firstLineChars="0"/>
              <w:jc w:val="center"/>
              <w:rPr>
                <w:rFonts w:ascii="宋体" w:hAnsi="宋体" w:eastAsia="宋体" w:cs="宋体"/>
                <w:sz w:val="21"/>
                <w:szCs w:val="21"/>
              </w:rPr>
            </w:pPr>
          </w:p>
        </w:tc>
        <w:tc>
          <w:tcPr>
            <w:tcW w:w="2664"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机油</w:t>
            </w:r>
          </w:p>
        </w:tc>
        <w:tc>
          <w:tcPr>
            <w:tcW w:w="993" w:type="dxa"/>
            <w:vAlign w:val="center"/>
          </w:tcPr>
          <w:p>
            <w:pPr>
              <w:pStyle w:val="29"/>
              <w:adjustRightIn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t/a</w:t>
            </w:r>
          </w:p>
        </w:tc>
        <w:tc>
          <w:tcPr>
            <w:tcW w:w="1275" w:type="dxa"/>
            <w:vAlign w:val="center"/>
          </w:tcPr>
          <w:p>
            <w:pPr>
              <w:pStyle w:val="29"/>
              <w:adjustRightInd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0.5</w:t>
            </w:r>
          </w:p>
        </w:tc>
        <w:tc>
          <w:tcPr>
            <w:tcW w:w="1276" w:type="dxa"/>
            <w:vAlign w:val="center"/>
          </w:tcPr>
          <w:p>
            <w:pPr>
              <w:pStyle w:val="29"/>
              <w:adjustRightIn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lang w:val="en-US" w:eastAsia="zh-CN"/>
              </w:rPr>
              <w:t>0.2</w:t>
            </w:r>
          </w:p>
        </w:tc>
        <w:tc>
          <w:tcPr>
            <w:tcW w:w="1305" w:type="dxa"/>
            <w:vAlign w:val="center"/>
          </w:tcPr>
          <w:p>
            <w:pPr>
              <w:pStyle w:val="29"/>
              <w:adjustRightInd w:val="0"/>
              <w:spacing w:line="240" w:lineRule="auto"/>
              <w:ind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1" w:type="dxa"/>
            <w:vMerge w:val="restart"/>
            <w:vAlign w:val="center"/>
          </w:tcPr>
          <w:p>
            <w:pPr>
              <w:pStyle w:val="29"/>
              <w:numPr>
                <w:ilvl w:val="0"/>
                <w:numId w:val="0"/>
              </w:numPr>
              <w:adjustRightInd w:val="0"/>
              <w:spacing w:line="240" w:lineRule="auto"/>
              <w:ind w:left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能耗</w:t>
            </w:r>
          </w:p>
        </w:tc>
        <w:tc>
          <w:tcPr>
            <w:tcW w:w="2664"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水</w:t>
            </w:r>
          </w:p>
        </w:tc>
        <w:tc>
          <w:tcPr>
            <w:tcW w:w="993" w:type="dxa"/>
            <w:vAlign w:val="center"/>
          </w:tcPr>
          <w:p>
            <w:pPr>
              <w:pStyle w:val="29"/>
              <w:adjustRightIn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rPr>
              <w:t>t/a</w:t>
            </w:r>
          </w:p>
        </w:tc>
        <w:tc>
          <w:tcPr>
            <w:tcW w:w="1275" w:type="dxa"/>
            <w:vAlign w:val="center"/>
          </w:tcPr>
          <w:p>
            <w:pPr>
              <w:pStyle w:val="29"/>
              <w:adjustRightInd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65837</w:t>
            </w:r>
          </w:p>
        </w:tc>
        <w:tc>
          <w:tcPr>
            <w:tcW w:w="1276" w:type="dxa"/>
            <w:vAlign w:val="center"/>
          </w:tcPr>
          <w:p>
            <w:pPr>
              <w:pStyle w:val="29"/>
              <w:adjustRightInd w:val="0"/>
              <w:spacing w:line="240" w:lineRule="auto"/>
              <w:ind w:firstLine="0" w:firstLineChars="0"/>
              <w:jc w:val="center"/>
              <w:rPr>
                <w:rFonts w:hint="default" w:ascii="宋体" w:hAnsi="宋体" w:eastAsia="宋体" w:cs="宋体"/>
                <w:sz w:val="21"/>
                <w:szCs w:val="21"/>
                <w:lang w:val="en-US"/>
              </w:rPr>
            </w:pPr>
            <w:r>
              <w:rPr>
                <w:rFonts w:hint="eastAsia" w:ascii="宋体" w:hAnsi="宋体" w:eastAsia="宋体" w:cs="宋体"/>
                <w:sz w:val="21"/>
                <w:szCs w:val="21"/>
                <w:lang w:val="en-US" w:eastAsia="zh-CN"/>
              </w:rPr>
              <w:t>26356.5</w:t>
            </w:r>
          </w:p>
        </w:tc>
        <w:tc>
          <w:tcPr>
            <w:tcW w:w="1305" w:type="dxa"/>
            <w:vAlign w:val="center"/>
          </w:tcPr>
          <w:p>
            <w:pPr>
              <w:pStyle w:val="29"/>
              <w:adjustRightInd w:val="0"/>
              <w:spacing w:line="240" w:lineRule="auto"/>
              <w:ind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1" w:type="dxa"/>
            <w:vMerge w:val="continue"/>
            <w:vAlign w:val="center"/>
          </w:tcPr>
          <w:p>
            <w:pPr>
              <w:pStyle w:val="29"/>
              <w:adjustRightInd w:val="0"/>
              <w:spacing w:line="240" w:lineRule="auto"/>
              <w:ind w:firstLineChars="0"/>
              <w:jc w:val="right"/>
              <w:rPr>
                <w:rFonts w:ascii="宋体" w:hAnsi="宋体" w:eastAsia="宋体" w:cs="宋体"/>
                <w:sz w:val="21"/>
                <w:szCs w:val="21"/>
              </w:rPr>
            </w:pPr>
          </w:p>
        </w:tc>
        <w:tc>
          <w:tcPr>
            <w:tcW w:w="2664" w:type="dxa"/>
            <w:vAlign w:val="center"/>
          </w:tcPr>
          <w:p>
            <w:pPr>
              <w:pStyle w:val="29"/>
              <w:adjustRightIn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电</w:t>
            </w:r>
          </w:p>
        </w:tc>
        <w:tc>
          <w:tcPr>
            <w:tcW w:w="993" w:type="dxa"/>
            <w:vAlign w:val="center"/>
          </w:tcPr>
          <w:p>
            <w:pPr>
              <w:pStyle w:val="29"/>
              <w:adjustRightInd w:val="0"/>
              <w:spacing w:line="240" w:lineRule="auto"/>
              <w:ind w:firstLine="0" w:firstLineChars="0"/>
              <w:jc w:val="center"/>
              <w:rPr>
                <w:rFonts w:ascii="宋体" w:hAnsi="宋体" w:eastAsia="宋体" w:cs="宋体"/>
                <w:sz w:val="21"/>
                <w:szCs w:val="21"/>
              </w:rPr>
            </w:pPr>
            <w:r>
              <w:rPr>
                <w:rFonts w:hint="eastAsia" w:ascii="宋体" w:hAnsi="宋体" w:eastAsia="宋体" w:cs="宋体"/>
                <w:sz w:val="21"/>
                <w:szCs w:val="21"/>
                <w:lang w:val="en-US" w:eastAsia="zh-CN"/>
              </w:rPr>
              <w:t>万kwh</w:t>
            </w:r>
            <w:r>
              <w:rPr>
                <w:rFonts w:hint="eastAsia" w:ascii="宋体" w:hAnsi="宋体" w:eastAsia="宋体" w:cs="宋体"/>
                <w:sz w:val="21"/>
                <w:szCs w:val="21"/>
              </w:rPr>
              <w:t>/a</w:t>
            </w:r>
          </w:p>
        </w:tc>
        <w:tc>
          <w:tcPr>
            <w:tcW w:w="1275" w:type="dxa"/>
            <w:vAlign w:val="center"/>
          </w:tcPr>
          <w:p>
            <w:pPr>
              <w:pStyle w:val="29"/>
              <w:adjustRightInd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color w:val="auto"/>
                <w:sz w:val="21"/>
                <w:szCs w:val="21"/>
                <w:lang w:val="en-US" w:eastAsia="zh-CN"/>
              </w:rPr>
              <w:t>100</w:t>
            </w:r>
          </w:p>
        </w:tc>
        <w:tc>
          <w:tcPr>
            <w:tcW w:w="1276" w:type="dxa"/>
            <w:vAlign w:val="center"/>
          </w:tcPr>
          <w:p>
            <w:pPr>
              <w:pStyle w:val="29"/>
              <w:adjustRightInd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40</w:t>
            </w:r>
          </w:p>
        </w:tc>
        <w:tc>
          <w:tcPr>
            <w:tcW w:w="1305" w:type="dxa"/>
            <w:vAlign w:val="center"/>
          </w:tcPr>
          <w:p>
            <w:pPr>
              <w:pStyle w:val="29"/>
              <w:adjustRightInd w:val="0"/>
              <w:spacing w:line="240" w:lineRule="auto"/>
              <w:ind w:firstLine="0" w:firstLineChars="0"/>
              <w:jc w:val="center"/>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8364" w:type="dxa"/>
            <w:gridSpan w:val="6"/>
            <w:vAlign w:val="center"/>
          </w:tcPr>
          <w:p>
            <w:pPr>
              <w:pStyle w:val="29"/>
              <w:adjustRightInd w:val="0"/>
              <w:spacing w:line="240" w:lineRule="auto"/>
              <w:ind w:firstLine="0" w:firstLineChars="0"/>
              <w:jc w:val="left"/>
              <w:rPr>
                <w:rFonts w:ascii="宋体" w:hAnsi="宋体" w:eastAsia="宋体" w:cs="宋体"/>
                <w:sz w:val="21"/>
                <w:szCs w:val="21"/>
              </w:rPr>
            </w:pPr>
            <w:r>
              <w:rPr>
                <w:rFonts w:hint="eastAsia" w:ascii="宋体" w:hAnsi="宋体" w:eastAsia="宋体" w:cs="宋体"/>
                <w:sz w:val="21"/>
                <w:szCs w:val="21"/>
              </w:rPr>
              <w:t>备注：</w:t>
            </w:r>
            <w:r>
              <w:rPr>
                <w:rFonts w:hint="eastAsia" w:ascii="宋体" w:hAnsi="宋体" w:eastAsia="宋体" w:cs="宋体"/>
                <w:sz w:val="21"/>
                <w:szCs w:val="21"/>
                <w:lang w:val="en-US" w:eastAsia="zh-CN"/>
              </w:rPr>
              <w:t xml:space="preserve">                       </w:t>
            </w:r>
          </w:p>
        </w:tc>
      </w:tr>
      <w:bookmarkEnd w:id="75"/>
      <w:bookmarkEnd w:id="76"/>
      <w:bookmarkEnd w:id="77"/>
      <w:bookmarkEnd w:id="78"/>
    </w:tbl>
    <w:p>
      <w:pPr>
        <w:pStyle w:val="7"/>
        <w:spacing w:line="360" w:lineRule="auto"/>
        <w:ind w:left="0" w:leftChars="0" w:firstLine="480" w:firstLineChars="200"/>
        <w:rPr>
          <w:rFonts w:hint="default" w:asciiTheme="minorEastAsia" w:hAnsiTheme="minorEastAsia" w:eastAsiaTheme="minorEastAsia" w:cstheme="minorEastAsia"/>
          <w:sz w:val="24"/>
          <w:szCs w:val="24"/>
          <w:lang w:val="en-US" w:eastAsia="zh-CN"/>
        </w:rPr>
      </w:pPr>
      <w:bookmarkStart w:id="79" w:name="_Toc13121"/>
      <w:bookmarkStart w:id="80" w:name="_Toc59001906"/>
      <w:r>
        <w:rPr>
          <w:rFonts w:hint="eastAsia" w:asciiTheme="minorEastAsia" w:hAnsiTheme="minorEastAsia" w:eastAsiaTheme="minorEastAsia" w:cstheme="minorEastAsia"/>
          <w:sz w:val="24"/>
          <w:szCs w:val="24"/>
          <w:lang w:val="en-US" w:eastAsia="zh-CN"/>
        </w:rPr>
        <w:t>根据现场核查项目的主要原辅材料用量与环评设计用量有较大的出入，分析其原因：由于受疫情和市场因素影响，项目进度推迟，目前进行的只是一期建设，肉牛的饲养存栏数仅为环评设计的40%，另外</w:t>
      </w:r>
      <w:r>
        <w:rPr>
          <w:rFonts w:hint="eastAsia" w:ascii="宋体" w:hAnsi="宋体" w:eastAsia="宋体" w:cs="宋体"/>
          <w:sz w:val="24"/>
          <w:szCs w:val="24"/>
          <w:lang w:val="en-US" w:eastAsia="zh-CN"/>
        </w:rPr>
        <w:t>由于是新建项目，员工对肉牛的养殖喂养缺乏经验，对饲料的喂养用量不能精准把控。</w:t>
      </w:r>
    </w:p>
    <w:p>
      <w:pPr>
        <w:pStyle w:val="7"/>
        <w:spacing w:line="360" w:lineRule="auto"/>
        <w:ind w:left="0" w:leftChars="0" w:firstLine="0" w:firstLineChars="0"/>
        <w:outlineLvl w:val="1"/>
        <w:rPr>
          <w:rFonts w:hint="default" w:asciiTheme="minorEastAsia" w:hAnsiTheme="minorEastAsia" w:eastAsiaTheme="minorEastAsia" w:cstheme="minorEastAsia"/>
          <w:b/>
          <w:bCs/>
          <w:sz w:val="28"/>
          <w:szCs w:val="28"/>
          <w:lang w:val="en-US" w:eastAsia="zh-CN"/>
        </w:rPr>
      </w:pPr>
      <w:bookmarkStart w:id="81" w:name="_Toc32332"/>
      <w:bookmarkStart w:id="82" w:name="_Toc30426"/>
      <w:r>
        <w:rPr>
          <w:rFonts w:hint="eastAsia" w:asciiTheme="minorEastAsia" w:hAnsiTheme="minorEastAsia" w:eastAsiaTheme="minorEastAsia" w:cstheme="minorEastAsia"/>
          <w:b/>
          <w:bCs/>
          <w:sz w:val="28"/>
          <w:szCs w:val="28"/>
          <w:lang w:val="en-US" w:eastAsia="zh-CN"/>
        </w:rPr>
        <w:t>3.4、项目用水平衡</w:t>
      </w:r>
      <w:bookmarkEnd w:id="81"/>
      <w:bookmarkEnd w:id="82"/>
    </w:p>
    <w:p>
      <w:pPr>
        <w:keepNext w:val="0"/>
        <w:keepLines w:val="0"/>
        <w:widowControl/>
        <w:suppressLineNumbers w:val="0"/>
        <w:spacing w:line="360" w:lineRule="auto"/>
        <w:ind w:left="0" w:leftChars="0" w:firstLine="480" w:firstLineChars="200"/>
        <w:jc w:val="left"/>
        <w:rPr>
          <w:rFonts w:hint="default" w:eastAsia="黑体"/>
          <w:sz w:val="24"/>
          <w:szCs w:val="24"/>
          <w:lang w:val="en-US" w:eastAsia="zh-CN"/>
        </w:rPr>
      </w:pPr>
      <w:r>
        <w:rPr>
          <w:rFonts w:hint="eastAsia" w:ascii="宋体" w:hAnsi="宋体" w:eastAsia="宋体" w:cs="宋体"/>
          <w:color w:val="000000"/>
          <w:kern w:val="0"/>
          <w:sz w:val="24"/>
          <w:szCs w:val="24"/>
          <w:lang w:val="en-US" w:eastAsia="zh-CN" w:bidi="ar"/>
        </w:rPr>
        <w:t xml:space="preserve">本项目建成完全达产后的用水量为 </w:t>
      </w:r>
      <w:r>
        <w:rPr>
          <w:rFonts w:hint="default" w:ascii="Times New Roman" w:hAnsi="Times New Roman" w:eastAsia="宋体" w:cs="Times New Roman"/>
          <w:color w:val="000000"/>
          <w:kern w:val="0"/>
          <w:sz w:val="24"/>
          <w:szCs w:val="24"/>
          <w:lang w:val="en-US" w:eastAsia="zh-CN" w:bidi="ar"/>
        </w:rPr>
        <w:t>65837.5m3 /a</w:t>
      </w:r>
      <w:r>
        <w:rPr>
          <w:rFonts w:hint="eastAsia" w:ascii="宋体" w:hAnsi="宋体" w:eastAsia="宋体" w:cs="宋体"/>
          <w:color w:val="000000"/>
          <w:kern w:val="0"/>
          <w:sz w:val="24"/>
          <w:szCs w:val="24"/>
          <w:lang w:val="en-US" w:eastAsia="zh-CN" w:bidi="ar"/>
        </w:rPr>
        <w:t xml:space="preserve">，目前企业的一期建设项目用水量为26352t/a,全厂水平衡图见图 </w:t>
      </w:r>
      <w:r>
        <w:rPr>
          <w:rFonts w:hint="default" w:ascii="Times New Roman" w:hAnsi="Times New Roman" w:eastAsia="宋体" w:cs="Times New Roman"/>
          <w:color w:val="000000"/>
          <w:kern w:val="0"/>
          <w:sz w:val="24"/>
          <w:szCs w:val="24"/>
          <w:lang w:val="en-US" w:eastAsia="zh-CN" w:bidi="ar"/>
        </w:rPr>
        <w:t>3.</w:t>
      </w:r>
      <w:r>
        <w:rPr>
          <w:rFonts w:hint="eastAsia" w:eastAsia="宋体" w:cs="Times New Roman"/>
          <w:color w:val="000000"/>
          <w:kern w:val="0"/>
          <w:sz w:val="24"/>
          <w:szCs w:val="24"/>
          <w:lang w:val="en-US" w:eastAsia="zh-CN" w:bidi="ar"/>
        </w:rPr>
        <w:t>4-1。</w:t>
      </w:r>
    </w:p>
    <w:p>
      <w:pPr>
        <w:keepNext w:val="0"/>
        <w:keepLines w:val="0"/>
        <w:widowControl/>
        <w:suppressLineNumbers w:val="0"/>
        <w:spacing w:line="360" w:lineRule="auto"/>
        <w:ind w:left="0" w:leftChars="0" w:firstLine="240" w:firstLineChars="1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⑴ 牛尿</w:t>
      </w:r>
    </w:p>
    <w:p>
      <w:pPr>
        <w:keepNext w:val="0"/>
        <w:keepLines w:val="0"/>
        <w:widowControl/>
        <w:suppressLineNumbers w:val="0"/>
        <w:spacing w:line="360" w:lineRule="auto"/>
        <w:ind w:left="0" w:leftChars="0" w:firstLine="480" w:firstLineChars="200"/>
        <w:jc w:val="left"/>
        <w:rPr>
          <w:rFonts w:hint="default"/>
          <w:sz w:val="24"/>
          <w:szCs w:val="24"/>
          <w:lang w:val="en-US"/>
        </w:rPr>
      </w:pPr>
      <w:r>
        <w:rPr>
          <w:rFonts w:hint="eastAsia" w:ascii="宋体" w:hAnsi="宋体" w:eastAsia="宋体" w:cs="宋体"/>
          <w:color w:val="000000"/>
          <w:kern w:val="0"/>
          <w:sz w:val="24"/>
          <w:szCs w:val="24"/>
          <w:lang w:val="en-US" w:eastAsia="zh-CN" w:bidi="ar"/>
        </w:rPr>
        <w:t>根据《畜禽养殖业污染治理工程技术规范》（</w:t>
      </w:r>
      <w:r>
        <w:rPr>
          <w:rFonts w:hint="default" w:ascii="Times New Roman" w:hAnsi="Times New Roman" w:eastAsia="宋体" w:cs="Times New Roman"/>
          <w:color w:val="000000"/>
          <w:kern w:val="0"/>
          <w:sz w:val="24"/>
          <w:szCs w:val="24"/>
          <w:lang w:val="en-US" w:eastAsia="zh-CN" w:bidi="ar"/>
        </w:rPr>
        <w:t>HJ497-2009</w:t>
      </w:r>
      <w:r>
        <w:rPr>
          <w:rFonts w:hint="eastAsia" w:ascii="宋体" w:hAnsi="宋体" w:eastAsia="宋体" w:cs="宋体"/>
          <w:color w:val="000000"/>
          <w:kern w:val="0"/>
          <w:sz w:val="24"/>
          <w:szCs w:val="24"/>
          <w:lang w:val="en-US" w:eastAsia="zh-CN" w:bidi="ar"/>
        </w:rPr>
        <w:t xml:space="preserve">），牛养殖过程中牛尿 产生量约为 </w:t>
      </w:r>
      <w:r>
        <w:rPr>
          <w:rFonts w:hint="default" w:ascii="Times New Roman" w:hAnsi="Times New Roman" w:eastAsia="宋体" w:cs="Times New Roman"/>
          <w:color w:val="000000"/>
          <w:kern w:val="0"/>
          <w:sz w:val="24"/>
          <w:szCs w:val="24"/>
          <w:lang w:val="en-US" w:eastAsia="zh-CN" w:bidi="ar"/>
        </w:rPr>
        <w:t>10kg/</w:t>
      </w:r>
      <w:r>
        <w:rPr>
          <w:rFonts w:hint="eastAsia" w:eastAsia="宋体" w:cs="Times New Roman"/>
          <w:color w:val="000000"/>
          <w:kern w:val="0"/>
          <w:sz w:val="24"/>
          <w:szCs w:val="24"/>
          <w:lang w:val="en-US" w:eastAsia="zh-CN" w:bidi="ar"/>
        </w:rPr>
        <w:t>头</w:t>
      </w:r>
      <w:r>
        <w:rPr>
          <w:rFonts w:hint="eastAsia" w:ascii="黑体" w:hAnsi="黑体" w:eastAsia="黑体" w:cs="黑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d</w:t>
      </w:r>
      <w:r>
        <w:rPr>
          <w:rFonts w:hint="eastAsia" w:ascii="宋体" w:hAnsi="宋体" w:eastAsia="宋体" w:cs="宋体"/>
          <w:color w:val="000000"/>
          <w:kern w:val="0"/>
          <w:sz w:val="24"/>
          <w:szCs w:val="24"/>
          <w:lang w:val="en-US" w:eastAsia="zh-CN" w:bidi="ar"/>
        </w:rPr>
        <w:t>，一期项目肉牛存栏量为8</w:t>
      </w:r>
      <w:r>
        <w:rPr>
          <w:rFonts w:hint="eastAsia" w:eastAsia="宋体" w:cs="Times New Roman"/>
          <w:color w:val="000000"/>
          <w:kern w:val="0"/>
          <w:sz w:val="24"/>
          <w:szCs w:val="24"/>
          <w:lang w:val="en-US" w:eastAsia="zh-CN" w:bidi="ar"/>
        </w:rPr>
        <w:t>00头</w:t>
      </w:r>
      <w:r>
        <w:rPr>
          <w:rFonts w:hint="eastAsia" w:ascii="宋体" w:hAnsi="宋体" w:eastAsia="宋体" w:cs="宋体"/>
          <w:color w:val="000000"/>
          <w:kern w:val="0"/>
          <w:sz w:val="24"/>
          <w:szCs w:val="24"/>
          <w:lang w:val="en-US" w:eastAsia="zh-CN" w:bidi="ar"/>
        </w:rPr>
        <w:t>，则项目牛尿产生量为2880</w:t>
      </w:r>
      <w:r>
        <w:rPr>
          <w:rFonts w:hint="default" w:ascii="Times New Roman" w:hAnsi="Times New Roman" w:eastAsia="宋体" w:cs="Times New Roman"/>
          <w:color w:val="000000"/>
          <w:kern w:val="0"/>
          <w:sz w:val="24"/>
          <w:szCs w:val="24"/>
          <w:lang w:val="en-US" w:eastAsia="zh-CN" w:bidi="ar"/>
        </w:rPr>
        <w:t>t/a</w:t>
      </w:r>
      <w:r>
        <w:rPr>
          <w:rFonts w:hint="eastAsia" w:ascii="宋体" w:hAnsi="宋体" w:eastAsia="宋体" w:cs="宋体"/>
          <w:color w:val="000000"/>
          <w:kern w:val="0"/>
          <w:sz w:val="24"/>
          <w:szCs w:val="24"/>
          <w:lang w:val="en-US" w:eastAsia="zh-CN" w:bidi="ar"/>
        </w:rPr>
        <w:t>。</w:t>
      </w:r>
    </w:p>
    <w:p>
      <w:pPr>
        <w:keepNext w:val="0"/>
        <w:keepLines w:val="0"/>
        <w:widowControl/>
        <w:numPr>
          <w:ilvl w:val="0"/>
          <w:numId w:val="4"/>
        </w:numPr>
        <w:suppressLineNumbers w:val="0"/>
        <w:spacing w:line="360" w:lineRule="auto"/>
        <w:ind w:left="0" w:leftChars="0" w:firstLine="240" w:firstLineChars="100"/>
        <w:jc w:val="left"/>
        <w:rPr>
          <w:sz w:val="24"/>
          <w:szCs w:val="24"/>
        </w:rPr>
      </w:pPr>
      <w:r>
        <w:rPr>
          <w:rFonts w:hint="eastAsia" w:ascii="宋体" w:hAnsi="宋体" w:eastAsia="宋体" w:cs="宋体"/>
          <w:color w:val="000000"/>
          <w:kern w:val="0"/>
          <w:sz w:val="24"/>
          <w:szCs w:val="24"/>
          <w:lang w:val="en-US" w:eastAsia="zh-CN" w:bidi="ar"/>
        </w:rPr>
        <w:t xml:space="preserve">饮水系统撒漏水 </w:t>
      </w:r>
    </w:p>
    <w:p>
      <w:pPr>
        <w:keepNext w:val="0"/>
        <w:keepLines w:val="0"/>
        <w:widowControl/>
        <w:suppressLineNumbers w:val="0"/>
        <w:spacing w:line="360" w:lineRule="auto"/>
        <w:ind w:left="0" w:leftChars="0" w:firstLine="480" w:firstLineChars="200"/>
        <w:jc w:val="left"/>
        <w:rPr>
          <w:sz w:val="24"/>
          <w:szCs w:val="24"/>
        </w:rPr>
      </w:pPr>
      <w:r>
        <w:rPr>
          <w:rFonts w:hint="eastAsia" w:ascii="宋体" w:hAnsi="宋体" w:eastAsia="宋体" w:cs="宋体"/>
          <w:color w:val="000000"/>
          <w:kern w:val="0"/>
          <w:sz w:val="24"/>
          <w:szCs w:val="24"/>
          <w:lang w:val="en-US" w:eastAsia="zh-CN" w:bidi="ar"/>
        </w:rPr>
        <w:t>饮水系统撒漏的水与选用的设备、牛饮水习惯、生产管理水平等因素有关。根据 《浙江省地方标准》</w:t>
      </w:r>
      <w:r>
        <w:rPr>
          <w:rFonts w:hint="default" w:ascii="Times New Roman" w:hAnsi="Times New Roman" w:eastAsia="宋体" w:cs="Times New Roman"/>
          <w:color w:val="000000"/>
          <w:kern w:val="0"/>
          <w:sz w:val="24"/>
          <w:szCs w:val="24"/>
          <w:lang w:val="en-US" w:eastAsia="zh-CN" w:bidi="ar"/>
        </w:rPr>
        <w:t>(DB33/T 769-2016)</w:t>
      </w:r>
      <w:r>
        <w:rPr>
          <w:rFonts w:hint="eastAsia" w:ascii="宋体" w:hAnsi="宋体" w:eastAsia="宋体" w:cs="宋体"/>
          <w:color w:val="000000"/>
          <w:kern w:val="0"/>
          <w:sz w:val="24"/>
          <w:szCs w:val="24"/>
          <w:lang w:val="en-US" w:eastAsia="zh-CN" w:bidi="ar"/>
        </w:rPr>
        <w:t xml:space="preserve">，牛饮水量约为 </w:t>
      </w:r>
      <w:r>
        <w:rPr>
          <w:rFonts w:hint="default" w:ascii="Times New Roman" w:hAnsi="Times New Roman" w:eastAsia="宋体" w:cs="Times New Roman"/>
          <w:color w:val="000000"/>
          <w:kern w:val="0"/>
          <w:sz w:val="24"/>
          <w:szCs w:val="24"/>
          <w:lang w:val="en-US" w:eastAsia="zh-CN" w:bidi="ar"/>
        </w:rPr>
        <w:t>80-100L/</w:t>
      </w:r>
      <w:r>
        <w:rPr>
          <w:rFonts w:hint="eastAsia" w:eastAsia="宋体" w:cs="Times New Roman"/>
          <w:color w:val="000000"/>
          <w:kern w:val="0"/>
          <w:sz w:val="24"/>
          <w:szCs w:val="24"/>
          <w:lang w:val="en-US" w:eastAsia="zh-CN" w:bidi="ar"/>
        </w:rPr>
        <w:t>头</w:t>
      </w:r>
      <w:r>
        <w:rPr>
          <w:rFonts w:hint="eastAsia" w:ascii="黑体" w:hAnsi="黑体" w:eastAsia="黑体" w:cs="黑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d</w:t>
      </w:r>
      <w:r>
        <w:rPr>
          <w:rFonts w:hint="default" w:eastAsia="宋体" w:cs="Times New Roman"/>
          <w:color w:val="000000"/>
          <w:kern w:val="0"/>
          <w:sz w:val="24"/>
          <w:szCs w:val="24"/>
          <w:lang w:eastAsia="zh-CN" w:bidi="ar"/>
        </w:rPr>
        <w:t xml:space="preserve"> </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 xml:space="preserve">环评取值 </w:t>
      </w:r>
      <w:r>
        <w:rPr>
          <w:rFonts w:hint="default" w:ascii="Times New Roman" w:hAnsi="Times New Roman" w:eastAsia="宋体" w:cs="Times New Roman"/>
          <w:color w:val="000000"/>
          <w:kern w:val="0"/>
          <w:sz w:val="24"/>
          <w:szCs w:val="24"/>
          <w:lang w:val="en-US" w:eastAsia="zh-CN" w:bidi="ar"/>
        </w:rPr>
        <w:t xml:space="preserve">90L/ </w:t>
      </w:r>
      <w:r>
        <w:rPr>
          <w:rFonts w:hint="eastAsia" w:eastAsia="宋体" w:cs="Times New Roman"/>
          <w:color w:val="000000"/>
          <w:kern w:val="0"/>
          <w:sz w:val="24"/>
          <w:szCs w:val="24"/>
          <w:lang w:val="en-US" w:eastAsia="zh-CN" w:bidi="ar"/>
        </w:rPr>
        <w:t>头</w:t>
      </w:r>
      <w:r>
        <w:rPr>
          <w:rFonts w:hint="eastAsia" w:ascii="黑体" w:hAnsi="黑体" w:eastAsia="黑体" w:cs="黑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d)</w:t>
      </w:r>
      <w:r>
        <w:rPr>
          <w:rFonts w:hint="eastAsia" w:ascii="宋体" w:hAnsi="宋体" w:eastAsia="宋体" w:cs="宋体"/>
          <w:color w:val="000000"/>
          <w:kern w:val="0"/>
          <w:sz w:val="24"/>
          <w:szCs w:val="24"/>
          <w:lang w:val="en-US" w:eastAsia="zh-CN" w:bidi="ar"/>
        </w:rPr>
        <w:t xml:space="preserve">，本项目栏舍内配备自动饮水装置（以800头计），饮用水量最大约 </w:t>
      </w:r>
      <w:r>
        <w:rPr>
          <w:rFonts w:hint="eastAsia" w:eastAsia="宋体" w:cs="Times New Roman"/>
          <w:color w:val="000000"/>
          <w:kern w:val="0"/>
          <w:sz w:val="24"/>
          <w:szCs w:val="24"/>
          <w:lang w:val="en-US" w:eastAsia="zh-CN" w:bidi="ar"/>
        </w:rPr>
        <w:t>25920</w:t>
      </w:r>
      <w:r>
        <w:rPr>
          <w:rFonts w:hint="default" w:ascii="Times New Roman" w:hAnsi="Times New Roman" w:eastAsia="宋体" w:cs="Times New Roman"/>
          <w:color w:val="000000"/>
          <w:kern w:val="0"/>
          <w:sz w:val="24"/>
          <w:szCs w:val="24"/>
          <w:lang w:val="en-US" w:eastAsia="zh-CN" w:bidi="ar"/>
        </w:rPr>
        <w:t xml:space="preserve"> t/a</w:t>
      </w:r>
      <w:r>
        <w:rPr>
          <w:rFonts w:hint="eastAsia" w:ascii="宋体" w:hAnsi="宋体" w:eastAsia="宋体" w:cs="宋体"/>
          <w:color w:val="000000"/>
          <w:kern w:val="0"/>
          <w:sz w:val="24"/>
          <w:szCs w:val="24"/>
          <w:lang w:val="en-US" w:eastAsia="zh-CN" w:bidi="ar"/>
        </w:rPr>
        <w:t xml:space="preserve">。饮水系统撒漏水以牛饮用水量的 </w:t>
      </w:r>
      <w:r>
        <w:rPr>
          <w:rFonts w:hint="default" w:ascii="Times New Roman" w:hAnsi="Times New Roman" w:eastAsia="宋体" w:cs="Times New Roman"/>
          <w:color w:val="000000"/>
          <w:kern w:val="0"/>
          <w:sz w:val="24"/>
          <w:szCs w:val="24"/>
          <w:lang w:val="en-US" w:eastAsia="zh-CN" w:bidi="ar"/>
        </w:rPr>
        <w:t>10%</w:t>
      </w:r>
      <w:r>
        <w:rPr>
          <w:rFonts w:hint="eastAsia" w:ascii="宋体" w:hAnsi="宋体" w:eastAsia="宋体" w:cs="宋体"/>
          <w:color w:val="000000"/>
          <w:kern w:val="0"/>
          <w:sz w:val="24"/>
          <w:szCs w:val="24"/>
          <w:lang w:val="en-US" w:eastAsia="zh-CN" w:bidi="ar"/>
        </w:rPr>
        <w:t xml:space="preserve">计算，其中约 </w:t>
      </w:r>
      <w:r>
        <w:rPr>
          <w:rFonts w:hint="default" w:ascii="Times New Roman" w:hAnsi="Times New Roman" w:eastAsia="宋体" w:cs="Times New Roman"/>
          <w:color w:val="000000"/>
          <w:kern w:val="0"/>
          <w:sz w:val="24"/>
          <w:szCs w:val="24"/>
          <w:lang w:val="en-US" w:eastAsia="zh-CN" w:bidi="ar"/>
        </w:rPr>
        <w:t>50%</w:t>
      </w:r>
      <w:r>
        <w:rPr>
          <w:rFonts w:hint="eastAsia" w:ascii="宋体" w:hAnsi="宋体" w:eastAsia="宋体" w:cs="宋体"/>
          <w:color w:val="000000"/>
          <w:kern w:val="0"/>
          <w:sz w:val="24"/>
          <w:szCs w:val="24"/>
          <w:lang w:val="en-US" w:eastAsia="zh-CN" w:bidi="ar"/>
        </w:rPr>
        <w:t>挥发进入空气中随栏舍通风系统排至室外，剩余部分即 1296</w:t>
      </w:r>
      <w:r>
        <w:rPr>
          <w:rFonts w:hint="default" w:ascii="Times New Roman" w:hAnsi="Times New Roman" w:eastAsia="宋体" w:cs="Times New Roman"/>
          <w:color w:val="000000"/>
          <w:kern w:val="0"/>
          <w:sz w:val="24"/>
          <w:szCs w:val="24"/>
          <w:lang w:val="en-US" w:eastAsia="zh-CN" w:bidi="ar"/>
        </w:rPr>
        <w:t>t/a</w:t>
      </w:r>
      <w:r>
        <w:rPr>
          <w:rFonts w:hint="eastAsia" w:ascii="宋体" w:hAnsi="宋体" w:eastAsia="宋体" w:cs="宋体"/>
          <w:color w:val="000000"/>
          <w:kern w:val="0"/>
          <w:sz w:val="24"/>
          <w:szCs w:val="24"/>
          <w:lang w:val="en-US" w:eastAsia="zh-CN" w:bidi="ar"/>
        </w:rPr>
        <w:t>（3.6</w:t>
      </w:r>
      <w:r>
        <w:rPr>
          <w:rFonts w:hint="default" w:ascii="Times New Roman" w:hAnsi="Times New Roman" w:eastAsia="宋体" w:cs="Times New Roman"/>
          <w:color w:val="000000"/>
          <w:kern w:val="0"/>
          <w:sz w:val="24"/>
          <w:szCs w:val="24"/>
          <w:lang w:val="en-US" w:eastAsia="zh-CN" w:bidi="ar"/>
        </w:rPr>
        <w:t>/d</w:t>
      </w:r>
      <w:r>
        <w:rPr>
          <w:rFonts w:hint="eastAsia" w:ascii="宋体" w:hAnsi="宋体" w:eastAsia="宋体" w:cs="宋体"/>
          <w:color w:val="000000"/>
          <w:kern w:val="0"/>
          <w:sz w:val="24"/>
          <w:szCs w:val="24"/>
          <w:lang w:val="en-US" w:eastAsia="zh-CN" w:bidi="ar"/>
        </w:rPr>
        <w:t>）随牛尿混入牛粪便、</w:t>
      </w:r>
      <w:r>
        <w:rPr>
          <w:rFonts w:hint="eastAsia" w:asciiTheme="minorEastAsia" w:hAnsiTheme="minorEastAsia" w:eastAsiaTheme="minorEastAsia" w:cstheme="minorEastAsia"/>
          <w:b w:val="0"/>
          <w:bCs w:val="0"/>
          <w:color w:val="000000"/>
          <w:kern w:val="0"/>
          <w:sz w:val="21"/>
          <w:szCs w:val="21"/>
          <w:lang w:val="en-US" w:eastAsia="zh-CN" w:bidi="ar"/>
        </w:rPr>
        <w:t>饲料残渣中</w:t>
      </w:r>
      <w:r>
        <w:rPr>
          <w:rFonts w:hint="eastAsia" w:ascii="宋体" w:hAnsi="宋体" w:eastAsia="宋体" w:cs="宋体"/>
          <w:color w:val="000000"/>
          <w:kern w:val="0"/>
          <w:sz w:val="24"/>
          <w:szCs w:val="24"/>
          <w:lang w:val="en-US" w:eastAsia="zh-CN" w:bidi="ar"/>
        </w:rPr>
        <w:t xml:space="preserve">。 </w:t>
      </w:r>
    </w:p>
    <w:p>
      <w:pPr>
        <w:keepNext w:val="0"/>
        <w:keepLines w:val="0"/>
        <w:widowControl/>
        <w:numPr>
          <w:ilvl w:val="0"/>
          <w:numId w:val="5"/>
        </w:numPr>
        <w:suppressLineNumbers w:val="0"/>
        <w:spacing w:line="360" w:lineRule="auto"/>
        <w:ind w:left="0" w:leftChars="0" w:firstLine="240" w:firstLineChars="100"/>
        <w:jc w:val="left"/>
        <w:rPr>
          <w:sz w:val="24"/>
          <w:szCs w:val="24"/>
        </w:rPr>
      </w:pPr>
      <w:r>
        <w:rPr>
          <w:rFonts w:hint="eastAsia" w:ascii="宋体" w:hAnsi="宋体" w:eastAsia="宋体" w:cs="宋体"/>
          <w:color w:val="000000"/>
          <w:kern w:val="0"/>
          <w:sz w:val="24"/>
          <w:szCs w:val="24"/>
          <w:lang w:val="en-US" w:eastAsia="zh-CN" w:bidi="ar"/>
        </w:rPr>
        <w:t xml:space="preserve">栏舍冲洗废水 </w:t>
      </w:r>
    </w:p>
    <w:p>
      <w:pPr>
        <w:keepNext w:val="0"/>
        <w:keepLines w:val="0"/>
        <w:widowControl/>
        <w:suppressLineNumbers w:val="0"/>
        <w:spacing w:line="360" w:lineRule="auto"/>
        <w:ind w:left="0" w:leftChars="0" w:firstLine="480" w:firstLineChars="200"/>
        <w:jc w:val="left"/>
        <w:rPr>
          <w:sz w:val="24"/>
          <w:szCs w:val="24"/>
        </w:rPr>
      </w:pPr>
      <w:r>
        <w:rPr>
          <w:rFonts w:hint="eastAsia" w:ascii="宋体" w:hAnsi="宋体" w:eastAsia="宋体" w:cs="宋体"/>
          <w:color w:val="000000"/>
          <w:kern w:val="0"/>
          <w:sz w:val="24"/>
          <w:szCs w:val="24"/>
          <w:lang w:val="en-US" w:eastAsia="zh-CN" w:bidi="ar"/>
        </w:rPr>
        <w:t xml:space="preserve">本项目无需对栏舍进行日常清洗，仅需在每批育成牛换栏、出栏后进行清洗一 次。项目栏舍内清洗采用高压水枪进行冲洗，根据企业提供的资料，本项目栏舍冲洗 废水用水系数一般 </w:t>
      </w:r>
      <w:r>
        <w:rPr>
          <w:rFonts w:hint="default" w:ascii="Times New Roman" w:hAnsi="Times New Roman" w:eastAsia="宋体" w:cs="Times New Roman"/>
          <w:color w:val="000000"/>
          <w:kern w:val="0"/>
          <w:sz w:val="24"/>
          <w:szCs w:val="24"/>
          <w:lang w:val="en-US" w:eastAsia="zh-CN" w:bidi="ar"/>
        </w:rPr>
        <w:t>4~6L/m</w:t>
      </w:r>
      <w:r>
        <w:rPr>
          <w:rFonts w:hint="default" w:eastAsia="宋体" w:cs="Times New Roman"/>
          <w:color w:val="000000"/>
          <w:kern w:val="0"/>
          <w:sz w:val="24"/>
          <w:szCs w:val="24"/>
          <w:vertAlign w:val="superscript"/>
          <w:lang w:eastAsia="zh-CN" w:bidi="ar"/>
        </w:rPr>
        <w:t>2</w:t>
      </w:r>
      <w:r>
        <w:rPr>
          <w:rFonts w:hint="eastAsia" w:ascii="黑体" w:hAnsi="黑体" w:eastAsia="黑体" w:cs="黑体"/>
          <w:color w:val="000000"/>
          <w:kern w:val="0"/>
          <w:sz w:val="24"/>
          <w:szCs w:val="24"/>
          <w:lang w:eastAsia="zh-CN" w:bidi="ar"/>
        </w:rPr>
        <w:t>˙</w:t>
      </w:r>
      <w:r>
        <w:rPr>
          <w:rFonts w:hint="eastAsia" w:ascii="宋体" w:hAnsi="宋体" w:eastAsia="宋体" w:cs="宋体"/>
          <w:color w:val="000000"/>
          <w:kern w:val="0"/>
          <w:sz w:val="24"/>
          <w:szCs w:val="24"/>
          <w:lang w:val="en-US" w:eastAsia="zh-CN" w:bidi="ar"/>
        </w:rPr>
        <w:t xml:space="preserve">次（其中夏季用水较多约 </w:t>
      </w:r>
      <w:r>
        <w:rPr>
          <w:rFonts w:hint="default" w:ascii="Times New Roman" w:hAnsi="Times New Roman" w:eastAsia="宋体" w:cs="Times New Roman"/>
          <w:color w:val="000000"/>
          <w:kern w:val="0"/>
          <w:sz w:val="24"/>
          <w:szCs w:val="24"/>
          <w:lang w:val="en-US" w:eastAsia="zh-CN" w:bidi="ar"/>
        </w:rPr>
        <w:t>6L/m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黑体" w:hAnsi="黑体" w:eastAsia="黑体" w:cs="黑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 xml:space="preserve">次，冬季用水较少约 </w:t>
      </w:r>
      <w:r>
        <w:rPr>
          <w:rFonts w:hint="default" w:ascii="Times New Roman" w:hAnsi="Times New Roman" w:eastAsia="宋体" w:cs="Times New Roman"/>
          <w:color w:val="000000"/>
          <w:kern w:val="0"/>
          <w:sz w:val="24"/>
          <w:szCs w:val="24"/>
          <w:lang w:val="en-US" w:eastAsia="zh-CN" w:bidi="ar"/>
        </w:rPr>
        <w:t>4L/m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宋体" w:hAnsi="宋体" w:eastAsia="宋体" w:cs="宋体"/>
          <w:color w:val="000000"/>
          <w:kern w:val="0"/>
          <w:sz w:val="24"/>
          <w:szCs w:val="24"/>
          <w:lang w:val="en-US" w:eastAsia="zh-CN" w:bidi="ar"/>
        </w:rPr>
        <w:t xml:space="preserve">次，平均 </w:t>
      </w:r>
      <w:r>
        <w:rPr>
          <w:rFonts w:hint="default" w:ascii="Times New Roman" w:hAnsi="Times New Roman" w:eastAsia="宋体" w:cs="Times New Roman"/>
          <w:color w:val="000000"/>
          <w:kern w:val="0"/>
          <w:sz w:val="24"/>
          <w:szCs w:val="24"/>
          <w:lang w:val="en-US" w:eastAsia="zh-CN" w:bidi="ar"/>
        </w:rPr>
        <w:t>5L/m</w:t>
      </w:r>
      <w:r>
        <w:rPr>
          <w:rFonts w:hint="default" w:ascii="Times New Roman" w:hAnsi="Times New Roman" w:eastAsia="宋体" w:cs="Times New Roman"/>
          <w:color w:val="000000"/>
          <w:kern w:val="0"/>
          <w:sz w:val="24"/>
          <w:szCs w:val="24"/>
          <w:vertAlign w:val="superscript"/>
          <w:lang w:val="en-US" w:eastAsia="zh-CN" w:bidi="ar"/>
        </w:rPr>
        <w:t>2</w:t>
      </w:r>
      <w:r>
        <w:rPr>
          <w:rFonts w:hint="eastAsia" w:ascii="黑体" w:hAnsi="黑体" w:eastAsia="黑体" w:cs="黑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 xml:space="preserve">次），冲洗废水产生量按用水量的 </w:t>
      </w:r>
      <w:r>
        <w:rPr>
          <w:rFonts w:hint="default" w:ascii="Times New Roman" w:hAnsi="Times New Roman" w:eastAsia="宋体" w:cs="Times New Roman"/>
          <w:color w:val="000000"/>
          <w:kern w:val="0"/>
          <w:sz w:val="24"/>
          <w:szCs w:val="24"/>
          <w:lang w:val="en-US" w:eastAsia="zh-CN" w:bidi="ar"/>
        </w:rPr>
        <w:t>85%</w:t>
      </w:r>
      <w:r>
        <w:rPr>
          <w:rFonts w:hint="eastAsia" w:ascii="宋体" w:hAnsi="宋体" w:eastAsia="宋体" w:cs="宋体"/>
          <w:color w:val="000000"/>
          <w:kern w:val="0"/>
          <w:sz w:val="24"/>
          <w:szCs w:val="24"/>
          <w:lang w:val="en-US" w:eastAsia="zh-CN" w:bidi="ar"/>
        </w:rPr>
        <w:t>计。根据各类牛群占栏 时间及栏舍面积（栏舍面积按800</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2</w:t>
      </w:r>
      <w:r>
        <w:rPr>
          <w:rFonts w:hint="eastAsia" w:eastAsia="宋体" w:cs="Times New Roman"/>
          <w:color w:val="000000"/>
          <w:kern w:val="0"/>
          <w:sz w:val="24"/>
          <w:szCs w:val="24"/>
          <w:vertAlign w:val="baseline"/>
          <w:lang w:val="en-US" w:eastAsia="zh-CN" w:bidi="ar"/>
        </w:rPr>
        <w:t>计</w:t>
      </w:r>
      <w:r>
        <w:rPr>
          <w:rFonts w:hint="eastAsia" w:ascii="宋体" w:hAnsi="宋体" w:eastAsia="宋体" w:cs="宋体"/>
          <w:color w:val="000000"/>
          <w:kern w:val="0"/>
          <w:sz w:val="24"/>
          <w:szCs w:val="24"/>
          <w:lang w:val="en-US" w:eastAsia="zh-CN" w:bidi="ar"/>
        </w:rPr>
        <w:t xml:space="preserve">），计算得到项目栏舍冲洗废水量见表 则冲洗废水量约 </w:t>
      </w:r>
      <w:r>
        <w:rPr>
          <w:rFonts w:hint="eastAsia" w:eastAsia="宋体" w:cs="Times New Roman"/>
          <w:color w:val="000000"/>
          <w:kern w:val="0"/>
          <w:sz w:val="24"/>
          <w:szCs w:val="24"/>
          <w:lang w:val="en-US" w:eastAsia="zh-CN" w:bidi="ar"/>
        </w:rPr>
        <w:t>3.4</w:t>
      </w:r>
      <w:r>
        <w:rPr>
          <w:rFonts w:hint="default" w:ascii="Times New Roman" w:hAnsi="Times New Roman" w:eastAsia="宋体" w:cs="Times New Roman"/>
          <w:color w:val="000000"/>
          <w:kern w:val="0"/>
          <w:sz w:val="24"/>
          <w:szCs w:val="24"/>
          <w:lang w:val="en-US" w:eastAsia="zh-CN" w:bidi="ar"/>
        </w:rPr>
        <w:t xml:space="preserve"> t/a</w:t>
      </w:r>
      <w:r>
        <w:rPr>
          <w:rFonts w:hint="eastAsia" w:ascii="宋体" w:hAnsi="宋体" w:eastAsia="宋体" w:cs="宋体"/>
          <w:color w:val="000000"/>
          <w:kern w:val="0"/>
          <w:sz w:val="24"/>
          <w:szCs w:val="24"/>
          <w:lang w:val="en-US" w:eastAsia="zh-CN" w:bidi="ar"/>
        </w:rPr>
        <w:t xml:space="preserve">。 </w:t>
      </w:r>
    </w:p>
    <w:p>
      <w:pPr>
        <w:keepNext w:val="0"/>
        <w:keepLines w:val="0"/>
        <w:widowControl/>
        <w:suppressLineNumbers w:val="0"/>
        <w:spacing w:line="360" w:lineRule="auto"/>
        <w:ind w:left="0" w:leftChars="0" w:firstLine="240" w:firstLineChars="100"/>
        <w:jc w:val="left"/>
        <w:rPr>
          <w:sz w:val="24"/>
          <w:szCs w:val="24"/>
        </w:rPr>
      </w:pPr>
      <w:r>
        <w:rPr>
          <w:rFonts w:hint="eastAsia" w:ascii="宋体" w:hAnsi="宋体" w:eastAsia="宋体" w:cs="宋体"/>
          <w:color w:val="000000"/>
          <w:kern w:val="0"/>
          <w:sz w:val="24"/>
          <w:szCs w:val="24"/>
          <w:lang w:val="en-US" w:eastAsia="zh-CN" w:bidi="ar"/>
        </w:rPr>
        <w:t xml:space="preserve">（4）水帘降温用水 </w:t>
      </w:r>
    </w:p>
    <w:p>
      <w:pPr>
        <w:keepNext w:val="0"/>
        <w:keepLines w:val="0"/>
        <w:widowControl/>
        <w:suppressLineNumbers w:val="0"/>
        <w:spacing w:line="360" w:lineRule="auto"/>
        <w:ind w:left="0" w:leftChars="0" w:firstLine="480" w:firstLineChars="200"/>
        <w:jc w:val="left"/>
        <w:rPr>
          <w:rFonts w:hint="eastAsia" w:asciiTheme="minorEastAsia" w:hAnsiTheme="minorEastAsia" w:eastAsiaTheme="minorEastAsia" w:cstheme="minorEastAsia"/>
          <w:b w:val="0"/>
          <w:bCs w:val="0"/>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天气炎热时栏舍采用水帘降温，每年降温时间按 </w:t>
      </w:r>
      <w:r>
        <w:rPr>
          <w:rFonts w:hint="default" w:ascii="Times New Roman" w:hAnsi="Times New Roman" w:eastAsia="宋体" w:cs="Times New Roman"/>
          <w:color w:val="000000"/>
          <w:kern w:val="0"/>
          <w:sz w:val="24"/>
          <w:szCs w:val="24"/>
          <w:lang w:val="en-US" w:eastAsia="zh-CN" w:bidi="ar"/>
        </w:rPr>
        <w:t xml:space="preserve">4 </w:t>
      </w:r>
      <w:r>
        <w:rPr>
          <w:rFonts w:hint="eastAsia" w:ascii="宋体" w:hAnsi="宋体" w:eastAsia="宋体" w:cs="宋体"/>
          <w:color w:val="000000"/>
          <w:kern w:val="0"/>
          <w:sz w:val="24"/>
          <w:szCs w:val="24"/>
          <w:lang w:val="en-US" w:eastAsia="zh-CN" w:bidi="ar"/>
        </w:rPr>
        <w:t>个月（</w:t>
      </w:r>
      <w:r>
        <w:rPr>
          <w:rFonts w:hint="default" w:ascii="Times New Roman" w:hAnsi="Times New Roman" w:eastAsia="宋体" w:cs="Times New Roman"/>
          <w:color w:val="000000"/>
          <w:kern w:val="0"/>
          <w:sz w:val="24"/>
          <w:szCs w:val="24"/>
          <w:lang w:val="en-US" w:eastAsia="zh-CN" w:bidi="ar"/>
        </w:rPr>
        <w:t xml:space="preserve">120 </w:t>
      </w:r>
      <w:r>
        <w:rPr>
          <w:rFonts w:hint="eastAsia" w:ascii="宋体" w:hAnsi="宋体" w:eastAsia="宋体" w:cs="宋体"/>
          <w:color w:val="000000"/>
          <w:kern w:val="0"/>
          <w:sz w:val="24"/>
          <w:szCs w:val="24"/>
          <w:lang w:val="en-US" w:eastAsia="zh-CN" w:bidi="ar"/>
        </w:rPr>
        <w:t>天）计，根据建设单位提供资料，场区降温水量约</w:t>
      </w:r>
      <w:r>
        <w:rPr>
          <w:rFonts w:hint="eastAsia" w:eastAsia="宋体" w:cs="Times New Roman"/>
          <w:color w:val="000000"/>
          <w:kern w:val="0"/>
          <w:sz w:val="24"/>
          <w:szCs w:val="24"/>
          <w:lang w:val="en-US" w:eastAsia="zh-CN" w:bidi="ar"/>
        </w:rPr>
        <w:t>1.0</w:t>
      </w:r>
      <w:r>
        <w:rPr>
          <w:rFonts w:hint="default" w:ascii="Times New Roman" w:hAnsi="Times New Roman" w:eastAsia="宋体" w:cs="Times New Roman"/>
          <w:color w:val="000000"/>
          <w:kern w:val="0"/>
          <w:sz w:val="24"/>
          <w:szCs w:val="24"/>
          <w:lang w:val="en-US" w:eastAsia="zh-CN" w:bidi="ar"/>
        </w:rPr>
        <w:t>t/d</w:t>
      </w:r>
      <w:r>
        <w:rPr>
          <w:rFonts w:hint="eastAsia" w:ascii="宋体" w:hAnsi="宋体" w:eastAsia="宋体" w:cs="宋体"/>
          <w:color w:val="000000"/>
          <w:kern w:val="0"/>
          <w:sz w:val="24"/>
          <w:szCs w:val="24"/>
          <w:lang w:val="en-US" w:eastAsia="zh-CN" w:bidi="ar"/>
        </w:rPr>
        <w:t xml:space="preserve">，降温过程由于蒸发损耗需定期补充新鲜水， 损耗量按 </w:t>
      </w:r>
      <w:r>
        <w:rPr>
          <w:rFonts w:hint="default" w:ascii="Times New Roman" w:hAnsi="Times New Roman" w:eastAsia="宋体" w:cs="Times New Roman"/>
          <w:color w:val="000000"/>
          <w:kern w:val="0"/>
          <w:sz w:val="24"/>
          <w:szCs w:val="24"/>
          <w:lang w:val="en-US" w:eastAsia="zh-CN" w:bidi="ar"/>
        </w:rPr>
        <w:t>15%</w:t>
      </w:r>
      <w:r>
        <w:rPr>
          <w:rFonts w:hint="eastAsia" w:ascii="宋体" w:hAnsi="宋体" w:eastAsia="宋体" w:cs="宋体"/>
          <w:color w:val="000000"/>
          <w:kern w:val="0"/>
          <w:sz w:val="24"/>
          <w:szCs w:val="24"/>
          <w:lang w:val="en-US" w:eastAsia="zh-CN" w:bidi="ar"/>
        </w:rPr>
        <w:t xml:space="preserve">计，则场区补充新鲜水量约 </w:t>
      </w:r>
      <w:r>
        <w:rPr>
          <w:rFonts w:hint="default" w:ascii="Times New Roman" w:hAnsi="Times New Roman" w:eastAsia="宋体" w:cs="Times New Roman"/>
          <w:color w:val="000000"/>
          <w:kern w:val="0"/>
          <w:sz w:val="24"/>
          <w:szCs w:val="24"/>
          <w:lang w:val="en-US" w:eastAsia="zh-CN" w:bidi="ar"/>
        </w:rPr>
        <w:t>0.</w:t>
      </w:r>
      <w:r>
        <w:rPr>
          <w:rFonts w:hint="eastAsia" w:eastAsia="宋体" w:cs="Times New Roman"/>
          <w:color w:val="000000"/>
          <w:kern w:val="0"/>
          <w:sz w:val="24"/>
          <w:szCs w:val="24"/>
          <w:lang w:val="en-US" w:eastAsia="zh-CN" w:bidi="ar"/>
        </w:rPr>
        <w:t>15</w:t>
      </w:r>
      <w:r>
        <w:rPr>
          <w:rFonts w:hint="default" w:ascii="Times New Roman" w:hAnsi="Times New Roman" w:eastAsia="宋体" w:cs="Times New Roman"/>
          <w:color w:val="000000"/>
          <w:kern w:val="0"/>
          <w:sz w:val="24"/>
          <w:szCs w:val="24"/>
          <w:lang w:val="en-US" w:eastAsia="zh-CN" w:bidi="ar"/>
        </w:rPr>
        <w:t>t/d</w:t>
      </w:r>
      <w:r>
        <w:rPr>
          <w:rFonts w:hint="eastAsia" w:ascii="宋体" w:hAnsi="宋体" w:eastAsia="宋体" w:cs="宋体"/>
          <w:color w:val="000000"/>
          <w:kern w:val="0"/>
          <w:sz w:val="24"/>
          <w:szCs w:val="24"/>
          <w:lang w:val="en-US" w:eastAsia="zh-CN" w:bidi="ar"/>
        </w:rPr>
        <w:t xml:space="preserve">，即 </w:t>
      </w:r>
      <w:r>
        <w:rPr>
          <w:rFonts w:hint="eastAsia" w:eastAsia="宋体" w:cs="Times New Roman"/>
          <w:color w:val="000000"/>
          <w:kern w:val="0"/>
          <w:sz w:val="24"/>
          <w:szCs w:val="24"/>
          <w:lang w:val="en-US" w:eastAsia="zh-CN" w:bidi="ar"/>
        </w:rPr>
        <w:t>54</w:t>
      </w:r>
      <w:r>
        <w:rPr>
          <w:rFonts w:hint="default" w:ascii="Times New Roman" w:hAnsi="Times New Roman" w:eastAsia="宋体" w:cs="Times New Roman"/>
          <w:color w:val="000000"/>
          <w:kern w:val="0"/>
          <w:sz w:val="24"/>
          <w:szCs w:val="24"/>
          <w:lang w:val="en-US" w:eastAsia="zh-CN" w:bidi="ar"/>
        </w:rPr>
        <w:t>t/a</w:t>
      </w:r>
      <w:r>
        <w:rPr>
          <w:rFonts w:hint="eastAsia" w:ascii="宋体" w:hAnsi="宋体" w:eastAsia="宋体" w:cs="宋体"/>
          <w:color w:val="000000"/>
          <w:kern w:val="0"/>
          <w:sz w:val="24"/>
          <w:szCs w:val="24"/>
          <w:lang w:val="en-US" w:eastAsia="zh-CN" w:bidi="ar"/>
        </w:rPr>
        <w:t xml:space="preserve">。水帘降温用水循环使用，仅补充新鲜用水，无外排废水。 </w:t>
      </w:r>
    </w:p>
    <w:p>
      <w:pPr>
        <w:keepNext w:val="0"/>
        <w:keepLines w:val="0"/>
        <w:widowControl/>
        <w:suppressLineNumbers w:val="0"/>
        <w:spacing w:line="360" w:lineRule="auto"/>
        <w:ind w:left="0" w:leftChars="0" w:firstLine="0" w:firstLineChars="0"/>
        <w:jc w:val="left"/>
        <w:rPr>
          <w:rFonts w:hint="eastAsia" w:asciiTheme="minorEastAsia" w:hAnsiTheme="minorEastAsia" w:eastAsiaTheme="minorEastAsia" w:cstheme="minorEastAsia"/>
          <w:b w:val="0"/>
          <w:bCs w:val="0"/>
        </w:rPr>
      </w:pPr>
      <w:r>
        <w:rPr>
          <w:rFonts w:hint="eastAsia" w:asciiTheme="minorEastAsia" w:hAnsiTheme="minorEastAsia" w:eastAsiaTheme="minorEastAsia" w:cstheme="minorEastAsia"/>
          <w:b w:val="0"/>
          <w:bCs w:val="0"/>
          <w:color w:val="000000"/>
          <w:kern w:val="0"/>
          <w:sz w:val="24"/>
          <w:szCs w:val="24"/>
          <w:lang w:val="en-US" w:eastAsia="zh-CN" w:bidi="ar"/>
        </w:rPr>
        <w:t>（6）生活污水</w:t>
      </w:r>
    </w:p>
    <w:p>
      <w:pPr>
        <w:pStyle w:val="7"/>
        <w:ind w:left="0" w:leftChars="0" w:firstLine="480" w:firstLineChars="200"/>
        <w:rPr>
          <w:rFonts w:hint="eastAsia" w:asciiTheme="minorEastAsia" w:hAnsiTheme="minorEastAsia" w:eastAsiaTheme="minorEastAsia" w:cstheme="minorEastAsia"/>
          <w:b w:val="0"/>
          <w:bCs w:val="0"/>
          <w:color w:val="000000"/>
          <w:kern w:val="0"/>
          <w:sz w:val="24"/>
          <w:szCs w:val="24"/>
          <w:lang w:val="en-US" w:eastAsia="zh-CN" w:bidi="ar"/>
        </w:rPr>
      </w:pPr>
      <w:r>
        <w:rPr>
          <w:rFonts w:hint="eastAsia" w:asciiTheme="minorEastAsia" w:hAnsiTheme="minorEastAsia" w:eastAsiaTheme="minorEastAsia" w:cstheme="minorEastAsia"/>
          <w:b w:val="0"/>
          <w:bCs w:val="0"/>
          <w:color w:val="000000"/>
          <w:kern w:val="0"/>
          <w:sz w:val="24"/>
          <w:szCs w:val="24"/>
          <w:lang w:val="en-US" w:eastAsia="zh-CN" w:bidi="ar"/>
        </w:rPr>
        <w:t>本项目目前企业在编人员为12人，年工作日为365 天，生活用水量以每人 100L/d 计，则生活用水量为432t/a。生活污水排放量以用水量的85%计为367t/a。</w:t>
      </w:r>
    </w:p>
    <w:p>
      <w:pPr>
        <w:pStyle w:val="7"/>
        <w:ind w:left="0" w:leftChars="0" w:firstLine="0" w:firstLineChars="0"/>
        <w:rPr>
          <w:rFonts w:hint="eastAsia" w:asciiTheme="minorEastAsia" w:hAnsiTheme="minorEastAsia" w:eastAsiaTheme="minorEastAsia" w:cstheme="minorEastAsia"/>
          <w:b w:val="0"/>
          <w:bCs w:val="0"/>
          <w:color w:val="000000"/>
          <w:kern w:val="0"/>
          <w:sz w:val="24"/>
          <w:szCs w:val="24"/>
          <w:lang w:val="en-US" w:eastAsia="zh-CN" w:bidi="ar"/>
        </w:rPr>
      </w:pPr>
      <w:r>
        <w:rPr>
          <w:rFonts w:hint="eastAsia" w:asciiTheme="minorEastAsia" w:hAnsiTheme="minorEastAsia" w:eastAsiaTheme="minorEastAsia" w:cstheme="minorEastAsia"/>
          <w:b w:val="0"/>
          <w:bCs w:val="0"/>
          <w:color w:val="000000"/>
          <w:kern w:val="0"/>
          <w:sz w:val="24"/>
          <w:szCs w:val="24"/>
          <w:lang w:val="en-US" w:eastAsia="zh-CN" w:bidi="ar"/>
        </w:rPr>
        <w:t>（7）企业用水平衡</w:t>
      </w:r>
    </w:p>
    <w:p>
      <w:pPr>
        <w:pStyle w:val="7"/>
        <w:ind w:left="0" w:leftChars="0" w:firstLine="0" w:firstLineChars="0"/>
        <w:rPr>
          <w:rFonts w:hint="eastAsia"/>
          <w:lang w:val="en-US" w:eastAsia="zh-CN"/>
        </w:rPr>
      </w:pPr>
    </w:p>
    <w:p>
      <w:pPr>
        <w:tabs>
          <w:tab w:val="left" w:pos="7356"/>
        </w:tabs>
        <w:bidi w:val="0"/>
        <w:jc w:val="left"/>
        <w:rPr>
          <w:rFonts w:hint="eastAsia"/>
          <w:lang w:val="en-US" w:eastAsia="zh-CN"/>
        </w:rPr>
      </w:pPr>
      <w:r>
        <w:rPr>
          <w:rFonts w:hint="eastAsia"/>
          <w:lang w:val="en-US" w:eastAsia="zh-CN"/>
        </w:rPr>
        <w:drawing>
          <wp:inline distT="0" distB="0" distL="114300" distR="114300">
            <wp:extent cx="4972050" cy="3943350"/>
            <wp:effectExtent l="0" t="0" r="0" b="0"/>
            <wp:docPr id="28" name="图片 28" descr="微信截图_2023082813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微信截图_20230828135556"/>
                    <pic:cNvPicPr>
                      <a:picLocks noChangeAspect="1"/>
                    </pic:cNvPicPr>
                  </pic:nvPicPr>
                  <pic:blipFill>
                    <a:blip r:embed="rId18"/>
                    <a:stretch>
                      <a:fillRect/>
                    </a:stretch>
                  </pic:blipFill>
                  <pic:spPr>
                    <a:xfrm>
                      <a:off x="0" y="0"/>
                      <a:ext cx="4972050" cy="3943350"/>
                    </a:xfrm>
                    <a:prstGeom prst="rect">
                      <a:avLst/>
                    </a:prstGeom>
                  </pic:spPr>
                </pic:pic>
              </a:graphicData>
            </a:graphic>
          </wp:inline>
        </w:drawing>
      </w:r>
    </w:p>
    <w:p>
      <w:pPr>
        <w:tabs>
          <w:tab w:val="left" w:pos="771"/>
        </w:tabs>
        <w:bidi w:val="0"/>
        <w:ind w:left="0" w:leftChars="0" w:firstLine="2168" w:firstLineChars="900"/>
        <w:jc w:val="left"/>
        <w:rPr>
          <w:rFonts w:hint="eastAsia" w:asciiTheme="minorEastAsia" w:hAnsiTheme="minorEastAsia" w:eastAsiaTheme="minorEastAsia" w:cstheme="minorEastAsia"/>
          <w:b/>
          <w:bCs/>
          <w:lang w:val="en-US" w:eastAsia="zh-CN"/>
        </w:rPr>
      </w:pPr>
      <w:r>
        <w:rPr>
          <w:rFonts w:hint="eastAsia" w:asciiTheme="minorEastAsia" w:hAnsiTheme="minorEastAsia" w:eastAsiaTheme="minorEastAsia" w:cstheme="minorEastAsia"/>
          <w:b/>
          <w:bCs/>
          <w:lang w:val="en-US" w:eastAsia="zh-CN"/>
        </w:rPr>
        <w:t>图 3.4-1  企业用水平衡图（t/a）</w:t>
      </w:r>
    </w:p>
    <w:p>
      <w:pPr>
        <w:tabs>
          <w:tab w:val="left" w:pos="771"/>
        </w:tabs>
        <w:bidi w:val="0"/>
        <w:jc w:val="left"/>
        <w:rPr>
          <w:rFonts w:hint="eastAsia"/>
          <w:b/>
          <w:bCs/>
          <w:lang w:val="en-US" w:eastAsia="zh-CN"/>
        </w:rPr>
      </w:pPr>
    </w:p>
    <w:p>
      <w:pPr>
        <w:keepNext w:val="0"/>
        <w:keepLines w:val="0"/>
        <w:widowControl/>
        <w:suppressLineNumbers w:val="0"/>
        <w:spacing w:line="360" w:lineRule="auto"/>
        <w:ind w:left="0" w:leftChars="0" w:firstLine="0" w:firstLineChars="0"/>
        <w:jc w:val="left"/>
        <w:outlineLvl w:val="1"/>
        <w:rPr>
          <w:rFonts w:hint="eastAsia" w:asciiTheme="minorEastAsia" w:hAnsiTheme="minorEastAsia" w:eastAsiaTheme="minorEastAsia" w:cstheme="minorEastAsia"/>
          <w:sz w:val="28"/>
          <w:szCs w:val="28"/>
        </w:rPr>
      </w:pPr>
      <w:bookmarkStart w:id="83" w:name="_Toc27109"/>
      <w:r>
        <w:rPr>
          <w:rFonts w:hint="eastAsia" w:asciiTheme="minorEastAsia" w:hAnsiTheme="minorEastAsia" w:eastAsiaTheme="minorEastAsia" w:cstheme="minorEastAsia"/>
          <w:b/>
          <w:bCs/>
          <w:color w:val="000000"/>
          <w:kern w:val="0"/>
          <w:sz w:val="28"/>
          <w:szCs w:val="28"/>
          <w:lang w:val="en-US" w:eastAsia="zh-CN" w:bidi="ar"/>
        </w:rPr>
        <w:t>3.5、项目变动情况</w:t>
      </w:r>
      <w:bookmarkEnd w:id="83"/>
      <w:r>
        <w:rPr>
          <w:rFonts w:hint="eastAsia" w:asciiTheme="minorEastAsia" w:hAnsiTheme="minorEastAsia" w:eastAsiaTheme="minorEastAsia" w:cstheme="minorEastAsia"/>
          <w:b/>
          <w:bCs/>
          <w:color w:val="000000"/>
          <w:kern w:val="0"/>
          <w:sz w:val="28"/>
          <w:szCs w:val="28"/>
          <w:lang w:val="en-US" w:eastAsia="zh-CN" w:bidi="ar"/>
        </w:rPr>
        <w:t xml:space="preserve"> </w:t>
      </w:r>
    </w:p>
    <w:p>
      <w:pPr>
        <w:keepNext w:val="0"/>
        <w:keepLines w:val="0"/>
        <w:widowControl/>
        <w:suppressLineNumbers w:val="0"/>
        <w:spacing w:line="360" w:lineRule="auto"/>
        <w:jc w:val="left"/>
        <w:rPr>
          <w:rFonts w:hint="eastAsia" w:asciiTheme="minorEastAsia" w:hAnsiTheme="minorEastAsia" w:eastAsiaTheme="minorEastAsia" w:cstheme="minorEastAsia"/>
          <w:color w:val="000000"/>
          <w:kern w:val="0"/>
          <w:sz w:val="24"/>
          <w:szCs w:val="24"/>
          <w:lang w:val="en-US" w:eastAsia="zh-CN" w:bidi="ar"/>
        </w:rPr>
      </w:pPr>
      <w:r>
        <w:rPr>
          <w:rFonts w:hint="eastAsia" w:asciiTheme="minorEastAsia" w:hAnsiTheme="minorEastAsia" w:eastAsiaTheme="minorEastAsia" w:cstheme="minorEastAsia"/>
          <w:color w:val="000000"/>
          <w:kern w:val="0"/>
          <w:sz w:val="24"/>
          <w:szCs w:val="24"/>
          <w:lang w:val="en-US" w:eastAsia="zh-CN" w:bidi="ar"/>
        </w:rPr>
        <w:t>根据“关于印发《污染影响类建设项目重大变动清单（试行）》的通知（环办环评函[2020]688 号）”的规范要求，对照本项目变动情况见表 3.5-1</w:t>
      </w:r>
    </w:p>
    <w:p>
      <w:pPr>
        <w:keepNext w:val="0"/>
        <w:keepLines w:val="0"/>
        <w:widowControl/>
        <w:suppressLineNumbers w:val="0"/>
        <w:spacing w:line="360" w:lineRule="auto"/>
        <w:ind w:firstLine="1920" w:firstLineChars="800"/>
        <w:jc w:val="left"/>
        <w:rPr>
          <w:rFonts w:hint="eastAsia" w:asciiTheme="minorEastAsia" w:hAnsiTheme="minorEastAsia" w:eastAsiaTheme="minorEastAsia" w:cstheme="minorEastAsia"/>
          <w:color w:val="000000"/>
          <w:kern w:val="0"/>
          <w:sz w:val="24"/>
          <w:szCs w:val="24"/>
          <w:lang w:val="en-US" w:eastAsia="zh-CN" w:bidi="ar"/>
        </w:rPr>
      </w:pPr>
      <w:r>
        <w:rPr>
          <w:rFonts w:hint="eastAsia" w:asciiTheme="minorEastAsia" w:hAnsiTheme="minorEastAsia" w:eastAsiaTheme="minorEastAsia" w:cstheme="minorEastAsia"/>
          <w:color w:val="000000"/>
          <w:kern w:val="0"/>
          <w:sz w:val="24"/>
          <w:szCs w:val="24"/>
          <w:lang w:val="en-US" w:eastAsia="zh-CN" w:bidi="ar"/>
        </w:rPr>
        <w:t>表3.5-1 项目变动情况检查汇总表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9"/>
        <w:gridCol w:w="1470"/>
        <w:gridCol w:w="1905"/>
        <w:gridCol w:w="1590"/>
        <w:gridCol w:w="1725"/>
        <w:gridCol w:w="12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b/>
                <w:bCs/>
                <w:color w:val="000000"/>
                <w:kern w:val="0"/>
                <w:sz w:val="21"/>
                <w:szCs w:val="21"/>
                <w:vertAlign w:val="baseline"/>
                <w:lang w:val="en-US" w:eastAsia="zh-CN" w:bidi="ar"/>
              </w:rPr>
            </w:pPr>
            <w:r>
              <w:rPr>
                <w:rFonts w:hint="eastAsia" w:asciiTheme="minorEastAsia" w:hAnsiTheme="minorEastAsia" w:eastAsiaTheme="minorEastAsia" w:cstheme="minorEastAsia"/>
                <w:b/>
                <w:bCs/>
                <w:color w:val="000000"/>
                <w:kern w:val="0"/>
                <w:sz w:val="21"/>
                <w:szCs w:val="21"/>
                <w:vertAlign w:val="baseline"/>
                <w:lang w:val="en-US" w:eastAsia="zh-CN" w:bidi="ar"/>
              </w:rPr>
              <w:t>项目</w:t>
            </w:r>
          </w:p>
        </w:tc>
        <w:tc>
          <w:tcPr>
            <w:tcW w:w="3375" w:type="dxa"/>
            <w:gridSpan w:val="2"/>
            <w:vAlign w:val="center"/>
          </w:tcPr>
          <w:p>
            <w:pPr>
              <w:keepNext w:val="0"/>
              <w:keepLines w:val="0"/>
              <w:widowControl/>
              <w:suppressLineNumbers w:val="0"/>
              <w:spacing w:line="240" w:lineRule="auto"/>
              <w:ind w:left="0" w:leftChars="0" w:firstLine="211" w:firstLineChars="100"/>
              <w:jc w:val="center"/>
              <w:rPr>
                <w:rFonts w:hint="eastAsia" w:asciiTheme="minorEastAsia" w:hAnsiTheme="minorEastAsia" w:eastAsiaTheme="minorEastAsia" w:cstheme="minorEastAsia"/>
                <w:b/>
                <w:bCs/>
                <w:color w:val="000000"/>
                <w:kern w:val="0"/>
                <w:sz w:val="21"/>
                <w:szCs w:val="21"/>
                <w:lang w:val="en-US" w:eastAsia="zh-CN" w:bidi="ar"/>
              </w:rPr>
            </w:pPr>
            <w:r>
              <w:rPr>
                <w:rFonts w:hint="eastAsia" w:asciiTheme="minorEastAsia" w:hAnsiTheme="minorEastAsia" w:eastAsiaTheme="minorEastAsia" w:cstheme="minorEastAsia"/>
                <w:b/>
                <w:bCs/>
                <w:color w:val="000000"/>
                <w:kern w:val="0"/>
                <w:sz w:val="21"/>
                <w:szCs w:val="21"/>
                <w:lang w:val="en-US" w:eastAsia="zh-CN" w:bidi="ar"/>
              </w:rPr>
              <w:t>污染影响类建设项目</w:t>
            </w:r>
          </w:p>
          <w:p>
            <w:pPr>
              <w:keepNext w:val="0"/>
              <w:keepLines w:val="0"/>
              <w:widowControl/>
              <w:suppressLineNumbers w:val="0"/>
              <w:spacing w:line="240" w:lineRule="auto"/>
              <w:ind w:left="0" w:leftChars="0" w:firstLine="422" w:firstLineChars="200"/>
              <w:jc w:val="center"/>
              <w:rPr>
                <w:rFonts w:hint="eastAsia" w:asciiTheme="minorEastAsia" w:hAnsiTheme="minorEastAsia" w:eastAsiaTheme="minorEastAsia" w:cstheme="minorEastAsia"/>
                <w:b/>
                <w:bCs/>
                <w:color w:val="000000"/>
                <w:kern w:val="0"/>
                <w:sz w:val="21"/>
                <w:szCs w:val="21"/>
                <w:vertAlign w:val="baseline"/>
                <w:lang w:val="en-US" w:eastAsia="zh-CN" w:bidi="ar"/>
              </w:rPr>
            </w:pPr>
            <w:r>
              <w:rPr>
                <w:rFonts w:hint="eastAsia" w:asciiTheme="minorEastAsia" w:hAnsiTheme="minorEastAsia" w:eastAsiaTheme="minorEastAsia" w:cstheme="minorEastAsia"/>
                <w:b/>
                <w:bCs/>
                <w:color w:val="000000"/>
                <w:kern w:val="0"/>
                <w:sz w:val="21"/>
                <w:szCs w:val="21"/>
                <w:lang w:val="en-US" w:eastAsia="zh-CN" w:bidi="ar"/>
              </w:rPr>
              <w:t>重大变动清单</w:t>
            </w:r>
          </w:p>
        </w:tc>
        <w:tc>
          <w:tcPr>
            <w:tcW w:w="1590" w:type="dxa"/>
            <w:vAlign w:val="center"/>
          </w:tcPr>
          <w:p>
            <w:pPr>
              <w:keepNext w:val="0"/>
              <w:keepLines w:val="0"/>
              <w:widowControl/>
              <w:suppressLineNumbers w:val="0"/>
              <w:spacing w:line="240" w:lineRule="auto"/>
              <w:ind w:left="0" w:leftChars="0" w:firstLine="211" w:firstLineChars="100"/>
              <w:jc w:val="center"/>
              <w:rPr>
                <w:rFonts w:hint="eastAsia" w:asciiTheme="minorEastAsia" w:hAnsiTheme="minorEastAsia" w:eastAsiaTheme="minorEastAsia" w:cstheme="minorEastAsia"/>
                <w:b/>
                <w:bCs/>
                <w:color w:val="000000"/>
                <w:kern w:val="0"/>
                <w:sz w:val="21"/>
                <w:szCs w:val="21"/>
                <w:vertAlign w:val="baseline"/>
                <w:lang w:val="en-US" w:eastAsia="zh-CN" w:bidi="ar"/>
              </w:rPr>
            </w:pPr>
            <w:r>
              <w:rPr>
                <w:rFonts w:hint="eastAsia" w:asciiTheme="minorEastAsia" w:hAnsiTheme="minorEastAsia" w:eastAsiaTheme="minorEastAsia" w:cstheme="minorEastAsia"/>
                <w:b/>
                <w:bCs/>
                <w:color w:val="000000"/>
                <w:kern w:val="0"/>
                <w:sz w:val="21"/>
                <w:szCs w:val="21"/>
                <w:vertAlign w:val="baseline"/>
                <w:lang w:val="en-US" w:eastAsia="zh-CN" w:bidi="ar"/>
              </w:rPr>
              <w:t>环评设计</w:t>
            </w:r>
          </w:p>
        </w:tc>
        <w:tc>
          <w:tcPr>
            <w:tcW w:w="1725" w:type="dxa"/>
            <w:vAlign w:val="center"/>
          </w:tcPr>
          <w:p>
            <w:pPr>
              <w:keepNext w:val="0"/>
              <w:keepLines w:val="0"/>
              <w:widowControl/>
              <w:suppressLineNumbers w:val="0"/>
              <w:spacing w:line="240" w:lineRule="auto"/>
              <w:ind w:left="0" w:leftChars="0" w:firstLine="211" w:firstLineChars="100"/>
              <w:jc w:val="center"/>
              <w:rPr>
                <w:rFonts w:hint="eastAsia" w:asciiTheme="minorEastAsia" w:hAnsiTheme="minorEastAsia" w:eastAsiaTheme="minorEastAsia" w:cstheme="minorEastAsia"/>
                <w:b/>
                <w:bCs/>
                <w:color w:val="000000"/>
                <w:kern w:val="0"/>
                <w:sz w:val="21"/>
                <w:szCs w:val="21"/>
                <w:vertAlign w:val="baseline"/>
                <w:lang w:val="en-US" w:eastAsia="zh-CN" w:bidi="ar"/>
              </w:rPr>
            </w:pPr>
            <w:r>
              <w:rPr>
                <w:rFonts w:hint="eastAsia" w:asciiTheme="minorEastAsia" w:hAnsiTheme="minorEastAsia" w:eastAsiaTheme="minorEastAsia" w:cstheme="minorEastAsia"/>
                <w:b/>
                <w:bCs/>
                <w:color w:val="000000"/>
                <w:kern w:val="0"/>
                <w:sz w:val="21"/>
                <w:szCs w:val="21"/>
                <w:vertAlign w:val="baseline"/>
                <w:lang w:val="en-US" w:eastAsia="zh-CN" w:bidi="ar"/>
              </w:rPr>
              <w:t>一期建设</w:t>
            </w:r>
          </w:p>
        </w:tc>
        <w:tc>
          <w:tcPr>
            <w:tcW w:w="1223"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b/>
                <w:bCs/>
                <w:color w:val="000000"/>
                <w:kern w:val="0"/>
                <w:sz w:val="21"/>
                <w:szCs w:val="21"/>
                <w:vertAlign w:val="baseline"/>
                <w:lang w:val="en-US" w:eastAsia="zh-CN" w:bidi="ar"/>
              </w:rPr>
            </w:pPr>
            <w:r>
              <w:rPr>
                <w:rFonts w:hint="eastAsia" w:asciiTheme="minorEastAsia" w:hAnsiTheme="minorEastAsia" w:eastAsiaTheme="minorEastAsia" w:cstheme="minorEastAsia"/>
                <w:b/>
                <w:bCs/>
                <w:color w:val="000000"/>
                <w:kern w:val="0"/>
                <w:sz w:val="21"/>
                <w:szCs w:val="21"/>
                <w:vertAlign w:val="baseline"/>
                <w:lang w:val="en-US" w:eastAsia="zh-CN" w:bidi="ar"/>
              </w:rPr>
              <w:t>变更情况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性质</w:t>
            </w:r>
          </w:p>
        </w:tc>
        <w:tc>
          <w:tcPr>
            <w:tcW w:w="3375" w:type="dxa"/>
            <w:gridSpan w:val="2"/>
            <w:vAlign w:val="center"/>
          </w:tcPr>
          <w:p>
            <w:pPr>
              <w:keepNext w:val="0"/>
              <w:keepLines w:val="0"/>
              <w:widowControl/>
              <w:suppressLineNumbers w:val="0"/>
              <w:spacing w:line="240" w:lineRule="auto"/>
              <w:ind w:left="0" w:leftChars="0" w:firstLine="0" w:firstLineChars="0"/>
              <w:jc w:val="both"/>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建设项目开发、使用功能发生变化</w:t>
            </w:r>
          </w:p>
        </w:tc>
        <w:tc>
          <w:tcPr>
            <w:tcW w:w="1590" w:type="dxa"/>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新建</w:t>
            </w:r>
          </w:p>
        </w:tc>
        <w:tc>
          <w:tcPr>
            <w:tcW w:w="1725" w:type="dxa"/>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新建</w:t>
            </w:r>
          </w:p>
        </w:tc>
        <w:tc>
          <w:tcPr>
            <w:tcW w:w="1223" w:type="dxa"/>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Merge w:val="restart"/>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规模</w:t>
            </w:r>
          </w:p>
        </w:tc>
        <w:tc>
          <w:tcPr>
            <w:tcW w:w="3375" w:type="dxa"/>
            <w:gridSpan w:val="2"/>
            <w:vAlign w:val="center"/>
          </w:tcPr>
          <w:p>
            <w:pPr>
              <w:keepNext w:val="0"/>
              <w:keepLines w:val="0"/>
              <w:widowControl/>
              <w:suppressLineNumbers w:val="0"/>
              <w:spacing w:line="240" w:lineRule="auto"/>
              <w:ind w:left="0" w:leftChars="0" w:firstLine="0" w:firstLineChars="0"/>
              <w:jc w:val="both"/>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生产、处置或储存能力增大30%及以上的</w:t>
            </w:r>
          </w:p>
        </w:tc>
        <w:tc>
          <w:tcPr>
            <w:tcW w:w="1590"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年养殖2000头肉牛</w:t>
            </w:r>
          </w:p>
        </w:tc>
        <w:tc>
          <w:tcPr>
            <w:tcW w:w="172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一期项目年养殖800头肉牛</w:t>
            </w:r>
          </w:p>
        </w:tc>
        <w:tc>
          <w:tcPr>
            <w:tcW w:w="1223"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分期建设，分期验收。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3375" w:type="dxa"/>
            <w:gridSpan w:val="2"/>
            <w:vAlign w:val="center"/>
          </w:tcPr>
          <w:p>
            <w:pPr>
              <w:keepNext w:val="0"/>
              <w:keepLines w:val="0"/>
              <w:widowControl/>
              <w:suppressLineNumbers w:val="0"/>
              <w:spacing w:line="240" w:lineRule="auto"/>
              <w:ind w:left="0" w:leftChars="0" w:firstLine="0" w:firstLineChars="0"/>
              <w:jc w:val="both"/>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生产、处置或储存能力增大，导致废水第一类别污染物排放量增加的</w:t>
            </w:r>
          </w:p>
        </w:tc>
        <w:tc>
          <w:tcPr>
            <w:tcW w:w="1590" w:type="dxa"/>
            <w:vAlign w:val="center"/>
          </w:tcPr>
          <w:p>
            <w:pPr>
              <w:keepNext w:val="0"/>
              <w:keepLines w:val="0"/>
              <w:widowControl/>
              <w:suppressLineNumbers w:val="0"/>
              <w:spacing w:line="240" w:lineRule="auto"/>
              <w:ind w:left="0" w:leftChars="0" w:firstLine="0" w:firstLineChars="0"/>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不涉及</w:t>
            </w:r>
          </w:p>
        </w:tc>
        <w:tc>
          <w:tcPr>
            <w:tcW w:w="1725" w:type="dxa"/>
            <w:vAlign w:val="center"/>
          </w:tcPr>
          <w:p>
            <w:pPr>
              <w:keepNext w:val="0"/>
              <w:keepLines w:val="0"/>
              <w:widowControl/>
              <w:suppressLineNumbers w:val="0"/>
              <w:spacing w:line="240" w:lineRule="auto"/>
              <w:ind w:left="0" w:leftChars="0" w:firstLine="420" w:firstLineChars="20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不涉及</w:t>
            </w:r>
          </w:p>
        </w:tc>
        <w:tc>
          <w:tcPr>
            <w:tcW w:w="1223" w:type="dxa"/>
            <w:vAlign w:val="center"/>
          </w:tcPr>
          <w:p>
            <w:pPr>
              <w:keepNext w:val="0"/>
              <w:keepLines w:val="0"/>
              <w:widowControl/>
              <w:suppressLineNumbers w:val="0"/>
              <w:spacing w:line="240" w:lineRule="auto"/>
              <w:ind w:left="0" w:leftChars="0" w:firstLine="0" w:firstLineChars="0"/>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3375" w:type="dxa"/>
            <w:gridSpan w:val="2"/>
            <w:vAlign w:val="center"/>
          </w:tcPr>
          <w:p>
            <w:pPr>
              <w:keepNext w:val="0"/>
              <w:keepLines w:val="0"/>
              <w:widowControl/>
              <w:suppressLineNumbers w:val="0"/>
              <w:spacing w:line="240" w:lineRule="auto"/>
              <w:ind w:left="0" w:leftChars="0" w:firstLine="0" w:firstLineChars="0"/>
              <w:jc w:val="both"/>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位于环境质量不达标区的建设项目生产、处置或储存能力增大，导致相应污染物排放量增加；位于达标区的建设项目生产、处置或储存能力增大，导致污染物排放量增加10%及以上的</w:t>
            </w:r>
          </w:p>
        </w:tc>
        <w:tc>
          <w:tcPr>
            <w:tcW w:w="1590"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位于环境达标区域，产能为：年养殖2000头肉牛。</w:t>
            </w:r>
          </w:p>
        </w:tc>
        <w:tc>
          <w:tcPr>
            <w:tcW w:w="1725" w:type="dxa"/>
            <w:vAlign w:val="center"/>
          </w:tcPr>
          <w:p>
            <w:pPr>
              <w:keepNext w:val="0"/>
              <w:keepLines w:val="0"/>
              <w:widowControl/>
              <w:suppressLineNumbers w:val="0"/>
              <w:spacing w:line="240" w:lineRule="auto"/>
              <w:ind w:left="0" w:leftChars="0" w:firstLine="0" w:firstLineChars="0"/>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位于环境达标区域，产能为：目前一期项目年养殖800头肉牛。</w:t>
            </w:r>
          </w:p>
        </w:tc>
        <w:tc>
          <w:tcPr>
            <w:tcW w:w="1223" w:type="dxa"/>
            <w:vAlign w:val="center"/>
          </w:tcPr>
          <w:p>
            <w:pPr>
              <w:keepNext w:val="0"/>
              <w:keepLines w:val="0"/>
              <w:widowControl/>
              <w:suppressLineNumbers w:val="0"/>
              <w:spacing w:line="240" w:lineRule="auto"/>
              <w:ind w:left="0" w:leftChars="0" w:firstLine="0" w:firstLineChars="0"/>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因养殖产能仅为设计产能的40%，故污染物排放大幅减少。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地点</w:t>
            </w:r>
          </w:p>
        </w:tc>
        <w:tc>
          <w:tcPr>
            <w:tcW w:w="3375" w:type="dxa"/>
            <w:gridSpan w:val="2"/>
            <w:vAlign w:val="center"/>
          </w:tcPr>
          <w:p>
            <w:pPr>
              <w:keepNext w:val="0"/>
              <w:keepLines w:val="0"/>
              <w:widowControl/>
              <w:suppressLineNumbers w:val="0"/>
              <w:spacing w:line="240" w:lineRule="auto"/>
              <w:ind w:left="0" w:leftChars="0" w:firstLine="0" w:firstLineChars="0"/>
              <w:jc w:val="both"/>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重新选址；在原厂址附近调整（包括总平面布置变化）导致环境保护距离范围变化且新增敏感点的</w:t>
            </w:r>
          </w:p>
        </w:tc>
        <w:tc>
          <w:tcPr>
            <w:tcW w:w="1590" w:type="dxa"/>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w:t>
            </w:r>
          </w:p>
        </w:tc>
        <w:tc>
          <w:tcPr>
            <w:tcW w:w="1725" w:type="dxa"/>
            <w:vAlign w:val="center"/>
          </w:tcPr>
          <w:p>
            <w:pPr>
              <w:pStyle w:val="9"/>
              <w:spacing w:line="240" w:lineRule="auto"/>
              <w:ind w:left="0" w:leftChars="0" w:firstLine="0" w:firstLineChars="0"/>
              <w:jc w:val="cente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按照环评设计要求建设</w:t>
            </w:r>
          </w:p>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1223"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609" w:type="dxa"/>
            <w:vMerge w:val="restart"/>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生产工艺</w:t>
            </w:r>
          </w:p>
        </w:tc>
        <w:tc>
          <w:tcPr>
            <w:tcW w:w="1470" w:type="dxa"/>
            <w:vMerge w:val="restart"/>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lang w:val="en-US" w:eastAsia="zh-CN" w:bidi="ar"/>
              </w:rPr>
              <w:t>新增产品品种或生产工艺（含主要生产装置、设备及配套设施）、 主要原辅材料、燃料变化，导致以下情形之一：</w:t>
            </w:r>
          </w:p>
        </w:tc>
        <w:tc>
          <w:tcPr>
            <w:tcW w:w="1905" w:type="dxa"/>
            <w:vAlign w:val="center"/>
          </w:tcPr>
          <w:p>
            <w:pPr>
              <w:keepNext w:val="0"/>
              <w:keepLines w:val="0"/>
              <w:widowControl/>
              <w:suppressLineNumbers w:val="0"/>
              <w:spacing w:line="240" w:lineRule="auto"/>
              <w:ind w:left="0" w:leftChars="0" w:firstLine="0" w:firstLineChars="0"/>
              <w:jc w:val="left"/>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lang w:val="en-US" w:eastAsia="zh-CN" w:bidi="ar"/>
              </w:rPr>
              <w:t>新增排放污染物种类的（毒性、挥发性降低的除外）</w:t>
            </w:r>
          </w:p>
        </w:tc>
        <w:tc>
          <w:tcPr>
            <w:tcW w:w="1590" w:type="dxa"/>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w:t>
            </w:r>
          </w:p>
        </w:tc>
        <w:tc>
          <w:tcPr>
            <w:tcW w:w="172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污染物排放种类与环评基本一致</w:t>
            </w:r>
          </w:p>
        </w:tc>
        <w:tc>
          <w:tcPr>
            <w:tcW w:w="1223"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1470"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1905" w:type="dxa"/>
            <w:vAlign w:val="center"/>
          </w:tcPr>
          <w:p>
            <w:pPr>
              <w:keepNext w:val="0"/>
              <w:keepLines w:val="0"/>
              <w:widowControl/>
              <w:suppressLineNumbers w:val="0"/>
              <w:spacing w:line="240" w:lineRule="auto"/>
              <w:ind w:left="0" w:leftChars="0" w:firstLine="0" w:firstLineChars="0"/>
              <w:jc w:val="both"/>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lang w:val="en-US" w:eastAsia="zh-CN" w:bidi="ar"/>
              </w:rPr>
              <w:t>位于环境质量不达标区的建设项目相应污染物排放量增加的</w:t>
            </w:r>
          </w:p>
        </w:tc>
        <w:tc>
          <w:tcPr>
            <w:tcW w:w="1590" w:type="dxa"/>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w:t>
            </w:r>
          </w:p>
        </w:tc>
        <w:tc>
          <w:tcPr>
            <w:tcW w:w="1725" w:type="dxa"/>
            <w:vAlign w:val="center"/>
          </w:tcPr>
          <w:p>
            <w:pPr>
              <w:keepNext w:val="0"/>
              <w:keepLines w:val="0"/>
              <w:widowControl/>
              <w:suppressLineNumbers w:val="0"/>
              <w:spacing w:line="240" w:lineRule="auto"/>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无变更</w:t>
            </w:r>
          </w:p>
        </w:tc>
        <w:tc>
          <w:tcPr>
            <w:tcW w:w="1223" w:type="dxa"/>
            <w:vAlign w:val="center"/>
          </w:tcPr>
          <w:p>
            <w:pPr>
              <w:keepNext w:val="0"/>
              <w:keepLines w:val="0"/>
              <w:widowControl/>
              <w:suppressLineNumbers w:val="0"/>
              <w:spacing w:line="240" w:lineRule="auto"/>
              <w:ind w:left="0" w:leftChars="0" w:firstLine="0" w:firstLineChars="0"/>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1470"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190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废水第一类污染物</w:t>
            </w:r>
          </w:p>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lang w:val="en-US" w:eastAsia="zh-CN" w:bidi="ar"/>
              </w:rPr>
              <w:t>排放量增加的</w:t>
            </w:r>
          </w:p>
        </w:tc>
        <w:tc>
          <w:tcPr>
            <w:tcW w:w="1590" w:type="dxa"/>
            <w:vAlign w:val="center"/>
          </w:tcPr>
          <w:p>
            <w:pPr>
              <w:pStyle w:val="9"/>
              <w:keepNext w:val="0"/>
              <w:keepLines w:val="0"/>
              <w:widowControl/>
              <w:suppressLineNumbers w:val="0"/>
              <w:spacing w:line="240" w:lineRule="auto"/>
              <w:ind w:firstLine="480" w:firstLineChars="20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lang w:val="en-US" w:eastAsia="zh-CN"/>
              </w:rPr>
              <w:t>不涉及</w:t>
            </w:r>
          </w:p>
        </w:tc>
        <w:tc>
          <w:tcPr>
            <w:tcW w:w="1725" w:type="dxa"/>
            <w:vAlign w:val="center"/>
          </w:tcPr>
          <w:p>
            <w:pPr>
              <w:pStyle w:val="9"/>
              <w:keepNext w:val="0"/>
              <w:keepLines w:val="0"/>
              <w:widowControl/>
              <w:suppressLineNumbers w:val="0"/>
              <w:spacing w:line="240" w:lineRule="auto"/>
              <w:ind w:left="0" w:leftChars="0" w:firstLine="480" w:firstLineChars="20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lang w:val="en-US" w:eastAsia="zh-CN"/>
              </w:rPr>
              <w:t>不涉及</w:t>
            </w:r>
          </w:p>
        </w:tc>
        <w:tc>
          <w:tcPr>
            <w:tcW w:w="1223" w:type="dxa"/>
            <w:vAlign w:val="center"/>
          </w:tcPr>
          <w:p>
            <w:pPr>
              <w:pStyle w:val="9"/>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2" w:hRule="atLeast"/>
        </w:trPr>
        <w:tc>
          <w:tcPr>
            <w:tcW w:w="609"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1470"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190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其他污染物排放量</w:t>
            </w:r>
          </w:p>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lang w:val="en-US" w:eastAsia="zh-CN" w:bidi="ar"/>
              </w:rPr>
              <w:t>增加 10%及以上的</w:t>
            </w:r>
          </w:p>
        </w:tc>
        <w:tc>
          <w:tcPr>
            <w:tcW w:w="1590" w:type="dxa"/>
            <w:vAlign w:val="center"/>
          </w:tcPr>
          <w:p>
            <w:pPr>
              <w:keepNext w:val="0"/>
              <w:keepLines w:val="0"/>
              <w:widowControl/>
              <w:suppressLineNumbers w:val="0"/>
              <w:spacing w:line="240" w:lineRule="auto"/>
              <w:ind w:left="0" w:leftChars="0" w:firstLine="0" w:firstLineChars="0"/>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lang w:val="en-US" w:eastAsia="zh-CN"/>
              </w:rPr>
              <w:t>不涉及</w:t>
            </w:r>
          </w:p>
        </w:tc>
        <w:tc>
          <w:tcPr>
            <w:tcW w:w="1725" w:type="dxa"/>
            <w:vAlign w:val="center"/>
          </w:tcPr>
          <w:p>
            <w:pPr>
              <w:keepNext w:val="0"/>
              <w:keepLines w:val="0"/>
              <w:widowControl/>
              <w:suppressLineNumbers w:val="0"/>
              <w:spacing w:line="240" w:lineRule="auto"/>
              <w:ind w:left="0" w:leftChars="0" w:firstLine="0" w:firstLineChars="0"/>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lang w:val="en-US" w:eastAsia="zh-CN"/>
              </w:rPr>
              <w:t>不涉及</w:t>
            </w:r>
          </w:p>
        </w:tc>
        <w:tc>
          <w:tcPr>
            <w:tcW w:w="1223" w:type="dxa"/>
            <w:vAlign w:val="center"/>
          </w:tcPr>
          <w:p>
            <w:pPr>
              <w:keepNext w:val="0"/>
              <w:keepLines w:val="0"/>
              <w:widowControl/>
              <w:suppressLineNumbers w:val="0"/>
              <w:spacing w:line="240" w:lineRule="auto"/>
              <w:ind w:left="0" w:leftChars="0" w:firstLine="0" w:firstLineChars="0"/>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3375" w:type="dxa"/>
            <w:gridSpan w:val="2"/>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物料运输、装卸、贮存方式变化导</w:t>
            </w:r>
          </w:p>
          <w:p>
            <w:pPr>
              <w:keepNext w:val="0"/>
              <w:keepLines w:val="0"/>
              <w:widowControl/>
              <w:suppressLineNumbers w:val="0"/>
              <w:spacing w:line="240" w:lineRule="auto"/>
              <w:ind w:left="0" w:leftChars="0" w:firstLine="0" w:firstLineChars="0"/>
              <w:jc w:val="left"/>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lang w:val="en-US" w:eastAsia="zh-CN" w:bidi="ar"/>
              </w:rPr>
              <w:t>致大气污染物无组织排放量增10% 及以上的</w:t>
            </w:r>
          </w:p>
        </w:tc>
        <w:tc>
          <w:tcPr>
            <w:tcW w:w="1590" w:type="dxa"/>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w:t>
            </w:r>
          </w:p>
        </w:tc>
        <w:tc>
          <w:tcPr>
            <w:tcW w:w="1725" w:type="dxa"/>
            <w:vAlign w:val="center"/>
          </w:tcPr>
          <w:p>
            <w:pPr>
              <w:keepNext w:val="0"/>
              <w:keepLines w:val="0"/>
              <w:widowControl/>
              <w:suppressLineNumbers w:val="0"/>
              <w:spacing w:line="240" w:lineRule="auto"/>
              <w:ind w:left="0" w:leftChars="0" w:firstLine="0" w:firstLineChars="0"/>
              <w:jc w:val="left"/>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lang w:val="en-US" w:eastAsia="zh-CN" w:bidi="ar"/>
              </w:rPr>
              <w:t>物料运输、 装卸、贮存 方式无变化</w:t>
            </w:r>
          </w:p>
        </w:tc>
        <w:tc>
          <w:tcPr>
            <w:tcW w:w="1223" w:type="dxa"/>
            <w:vAlign w:val="center"/>
          </w:tcPr>
          <w:p>
            <w:pPr>
              <w:keepNext w:val="0"/>
              <w:keepLines w:val="0"/>
              <w:widowControl/>
              <w:suppressLineNumbers w:val="0"/>
              <w:spacing w:line="240" w:lineRule="auto"/>
              <w:ind w:left="0" w:leftChars="0" w:firstLine="210" w:firstLineChars="100"/>
              <w:jc w:val="both"/>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无变更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Merge w:val="restart"/>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环境保护措施</w:t>
            </w:r>
          </w:p>
        </w:tc>
        <w:tc>
          <w:tcPr>
            <w:tcW w:w="3375" w:type="dxa"/>
            <w:gridSpan w:val="2"/>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lang w:val="en-US" w:eastAsia="zh-CN" w:bidi="ar"/>
              </w:rPr>
              <w:t>废气、废水污染防治措施变化，导致第 6 条中所列情形之一（废气无组织 排放改为有组织排放、污染防治措施强化或改进的除外）或大气污染物无组织排放量增加 10%及以上的</w:t>
            </w:r>
          </w:p>
        </w:tc>
        <w:tc>
          <w:tcPr>
            <w:tcW w:w="4538" w:type="dxa"/>
            <w:gridSpan w:val="3"/>
          </w:tcPr>
          <w:p>
            <w:pPr>
              <w:keepNext w:val="0"/>
              <w:keepLines w:val="0"/>
              <w:widowControl/>
              <w:suppressLineNumbers w:val="0"/>
              <w:spacing w:line="240" w:lineRule="auto"/>
              <w:ind w:left="0" w:leftChars="0" w:firstLine="0" w:firstLineChars="0"/>
              <w:jc w:val="left"/>
              <w:rPr>
                <w:rFonts w:hint="default" w:eastAsia="仿宋" w:asciiTheme="minorEastAsia" w:hAnsi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b w:val="0"/>
                <w:bCs w:val="0"/>
                <w:color w:val="000000"/>
                <w:kern w:val="0"/>
                <w:sz w:val="21"/>
                <w:szCs w:val="21"/>
                <w:lang w:val="en-US" w:eastAsia="zh-CN" w:bidi="ar"/>
              </w:rPr>
              <w:t>原设计养殖过程中产生的牛粪便、饲料残渣及杂质和污泥收集后经堆肥发酵后制作有机肥基料，其在堆肥好氧发酵过程中产生的</w:t>
            </w:r>
            <w:r>
              <w:rPr>
                <w:rFonts w:hint="eastAsia" w:asciiTheme="minorEastAsia" w:hAnsiTheme="minorEastAsia" w:eastAsiaTheme="minorEastAsia" w:cstheme="minorEastAsia"/>
                <w:color w:val="000000"/>
                <w:kern w:val="0"/>
                <w:sz w:val="21"/>
                <w:szCs w:val="21"/>
                <w:lang w:val="en-US" w:eastAsia="zh-CN" w:bidi="ar"/>
              </w:rPr>
              <w:t>臭气经除臭剂喷淋处理工艺处理后通过 15m 排气筒排放。现变更为：</w:t>
            </w:r>
            <w:r>
              <w:rPr>
                <w:rFonts w:hint="eastAsia" w:asciiTheme="minorEastAsia" w:hAnsiTheme="minorEastAsia" w:eastAsiaTheme="minorEastAsia" w:cstheme="minorEastAsia"/>
                <w:b w:val="0"/>
                <w:bCs w:val="0"/>
                <w:color w:val="000000"/>
                <w:kern w:val="0"/>
                <w:sz w:val="21"/>
                <w:szCs w:val="21"/>
                <w:lang w:val="en-US" w:eastAsia="zh-CN" w:bidi="ar"/>
              </w:rPr>
              <w:t>养殖过程中产生的牛粪便、饲料残渣及杂质和污泥收集后委托浙江一海新能源有限公司进行无害化处理，有机肥基料生产工艺变更后</w:t>
            </w:r>
            <w:r>
              <w:rPr>
                <w:rFonts w:hint="eastAsia" w:asciiTheme="minorEastAsia" w:hAnsiTheme="minorEastAsia" w:eastAsiaTheme="minorEastAsia" w:cstheme="minorEastAsia"/>
                <w:lang w:val="en-US" w:eastAsia="zh-CN"/>
              </w:rPr>
              <w:t>因去除了好氧堆肥发酵过程中臭气的产生故大气污染物有组织和无组织的排放量大幅减少。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3375" w:type="dxa"/>
            <w:gridSpan w:val="2"/>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lang w:val="en-US" w:eastAsia="zh-CN" w:bidi="ar"/>
              </w:rPr>
              <w:t>新增废水直接排放口；废水由间接排放改为直接排放；废水直接排放口位置变化，导致不利环境影响加重的</w:t>
            </w:r>
          </w:p>
        </w:tc>
        <w:tc>
          <w:tcPr>
            <w:tcW w:w="4538" w:type="dxa"/>
            <w:gridSpan w:val="3"/>
            <w:vAlign w:val="center"/>
          </w:tcPr>
          <w:p>
            <w:pPr>
              <w:keepNext w:val="0"/>
              <w:keepLines w:val="0"/>
              <w:widowControl/>
              <w:suppressLineNumbers w:val="0"/>
              <w:spacing w:line="240" w:lineRule="auto"/>
              <w:ind w:left="0" w:leftChars="0" w:firstLine="0" w:firstLineChars="0"/>
              <w:jc w:val="both"/>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企业肉牛养殖采用干清粪工艺，养殖过程中产生的牛尿直接混入</w:t>
            </w:r>
            <w:r>
              <w:rPr>
                <w:rFonts w:hint="eastAsia" w:asciiTheme="minorEastAsia" w:hAnsiTheme="minorEastAsia" w:eastAsiaTheme="minorEastAsia" w:cstheme="minorEastAsia"/>
                <w:b w:val="0"/>
                <w:bCs w:val="0"/>
                <w:color w:val="000000"/>
                <w:kern w:val="0"/>
                <w:sz w:val="21"/>
                <w:szCs w:val="21"/>
                <w:lang w:val="en-US" w:eastAsia="zh-CN" w:bidi="ar"/>
              </w:rPr>
              <w:t>牛粪便、沼渣、饲料残渣及杂质中后与牛粪便、沼渣、饲料残渣及杂质一并委托进行了无害化处理，原废水处理系统暂缓建设，企业未新增污水排放口。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3375" w:type="dxa"/>
            <w:gridSpan w:val="2"/>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lang w:val="en-US" w:eastAsia="zh-CN" w:bidi="ar"/>
              </w:rPr>
              <w:t>新增废气主要排放口（废气无组织排放改为有组织排放的除外）；主要排放口排气筒高度降低10%及以上的</w:t>
            </w:r>
          </w:p>
        </w:tc>
        <w:tc>
          <w:tcPr>
            <w:tcW w:w="4538" w:type="dxa"/>
            <w:gridSpan w:val="3"/>
            <w:vAlign w:val="center"/>
          </w:tcPr>
          <w:p>
            <w:pPr>
              <w:pStyle w:val="9"/>
              <w:spacing w:line="240" w:lineRule="auto"/>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原设计的</w:t>
            </w:r>
            <w:r>
              <w:rPr>
                <w:rFonts w:hint="eastAsia" w:asciiTheme="minorEastAsia" w:hAnsiTheme="minorEastAsia" w:eastAsiaTheme="minorEastAsia" w:cstheme="minorEastAsia"/>
                <w:b w:val="0"/>
                <w:bCs w:val="0"/>
                <w:color w:val="000000"/>
                <w:kern w:val="0"/>
                <w:sz w:val="21"/>
                <w:szCs w:val="21"/>
                <w:lang w:val="en-US" w:eastAsia="zh-CN" w:bidi="ar"/>
              </w:rPr>
              <w:t>堆肥好氧发酵过程中产生的</w:t>
            </w:r>
            <w:r>
              <w:rPr>
                <w:rFonts w:hint="eastAsia" w:asciiTheme="minorEastAsia" w:hAnsiTheme="minorEastAsia" w:eastAsiaTheme="minorEastAsia" w:cstheme="minorEastAsia"/>
                <w:color w:val="000000"/>
                <w:kern w:val="0"/>
                <w:sz w:val="21"/>
                <w:szCs w:val="21"/>
                <w:lang w:val="en-US" w:eastAsia="zh-CN" w:bidi="ar"/>
              </w:rPr>
              <w:t>臭气经除臭剂喷淋处理工艺处理后的排气筒和污水处理的排气筒因工艺变更，现两个排气筒拆除，</w:t>
            </w:r>
            <w:r>
              <w:rPr>
                <w:rFonts w:hint="eastAsia" w:asciiTheme="minorEastAsia" w:hAnsiTheme="minorEastAsia" w:eastAsiaTheme="minorEastAsia" w:cstheme="minorEastAsia"/>
                <w:sz w:val="21"/>
                <w:szCs w:val="21"/>
                <w:lang w:val="en-US" w:eastAsia="zh-CN"/>
              </w:rPr>
              <w:t>其它不新增</w:t>
            </w:r>
            <w:r>
              <w:rPr>
                <w:rFonts w:hint="eastAsia" w:asciiTheme="minorEastAsia" w:hAnsiTheme="minorEastAsia" w:eastAsiaTheme="minorEastAsia" w:cstheme="minor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3375" w:type="dxa"/>
            <w:gridSpan w:val="2"/>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lang w:val="en-US" w:eastAsia="zh-CN" w:bidi="ar"/>
              </w:rPr>
              <w:t>噪声、土壤或地下水污染防治措施变化，导致不利环境影响加重的</w:t>
            </w:r>
          </w:p>
        </w:tc>
        <w:tc>
          <w:tcPr>
            <w:tcW w:w="1590" w:type="dxa"/>
            <w:vAlign w:val="center"/>
          </w:tcPr>
          <w:p>
            <w:pPr>
              <w:keepNext w:val="0"/>
              <w:keepLines w:val="0"/>
              <w:widowControl/>
              <w:suppressLineNumbers w:val="0"/>
              <w:spacing w:line="240" w:lineRule="auto"/>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w:t>
            </w:r>
          </w:p>
        </w:tc>
        <w:tc>
          <w:tcPr>
            <w:tcW w:w="1725" w:type="dxa"/>
            <w:vAlign w:val="center"/>
          </w:tcPr>
          <w:p>
            <w:pPr>
              <w:keepNext w:val="0"/>
              <w:keepLines w:val="0"/>
              <w:widowControl/>
              <w:suppressLineNumbers w:val="0"/>
              <w:spacing w:line="240" w:lineRule="auto"/>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与环评一致</w:t>
            </w:r>
          </w:p>
        </w:tc>
        <w:tc>
          <w:tcPr>
            <w:tcW w:w="1223" w:type="dxa"/>
            <w:vAlign w:val="center"/>
          </w:tcPr>
          <w:p>
            <w:pPr>
              <w:pStyle w:val="9"/>
              <w:ind w:left="0" w:leftChars="0" w:firstLine="0" w:firstLineChars="0"/>
              <w:jc w:val="center"/>
              <w:rPr>
                <w:rFonts w:hint="eastAsia" w:eastAsia="仿宋"/>
                <w:lang w:val="en-US" w:eastAsia="zh-CN"/>
              </w:rPr>
            </w:pPr>
            <w:r>
              <w:rPr>
                <w:rFonts w:hint="eastAsia" w:asciiTheme="minorEastAsia" w:hAnsiTheme="minorEastAsia" w:eastAsiaTheme="minorEastAsia" w:cstheme="minorEastAsia"/>
                <w:lang w:val="en-US" w:eastAsia="zh-CN"/>
              </w:rPr>
              <w:t>无变化</w:t>
            </w:r>
          </w:p>
          <w:p>
            <w:pPr>
              <w:keepNext w:val="0"/>
              <w:keepLines w:val="0"/>
              <w:widowControl/>
              <w:suppressLineNumbers w:val="0"/>
              <w:spacing w:line="240" w:lineRule="auto"/>
              <w:jc w:val="center"/>
              <w:rPr>
                <w:rFonts w:hint="default" w:asciiTheme="minorEastAsia" w:hAnsiTheme="minorEastAsia" w:eastAsiaTheme="minorEastAsia" w:cstheme="minorEastAsia"/>
                <w:color w:val="000000"/>
                <w:kern w:val="0"/>
                <w:sz w:val="21"/>
                <w:szCs w:val="21"/>
                <w:vertAlign w:val="baseli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3375" w:type="dxa"/>
            <w:gridSpan w:val="2"/>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lang w:val="en-US" w:eastAsia="zh-CN" w:bidi="ar"/>
              </w:rPr>
              <w:t>固体废物利用处置方式由委托外单位利用处置改为自行利用处置的（自行利用处置设施单独开展环境影响评价的除外）；固体废物自行处置方式变化，导致不利环境影响加重的</w:t>
            </w:r>
          </w:p>
        </w:tc>
        <w:tc>
          <w:tcPr>
            <w:tcW w:w="1590" w:type="dxa"/>
            <w:vAlign w:val="center"/>
          </w:tcPr>
          <w:p>
            <w:pPr>
              <w:keepNext w:val="0"/>
              <w:keepLines w:val="0"/>
              <w:widowControl/>
              <w:suppressLineNumbers w:val="0"/>
              <w:spacing w:line="240" w:lineRule="auto"/>
              <w:ind w:left="0" w:leftChars="0" w:firstLine="0" w:firstLineChars="0"/>
              <w:jc w:val="left"/>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企业的一般固废牛粪、饲料残渣等经堆肥发酵后制作有机肥基料；危废暂存一定数量后委托有资质单位处置，病死牛委托</w:t>
            </w:r>
            <w:r>
              <w:rPr>
                <w:rFonts w:hint="eastAsia" w:asciiTheme="minorEastAsia" w:hAnsiTheme="minorEastAsia" w:eastAsiaTheme="minorEastAsia" w:cstheme="minorEastAsia"/>
                <w:color w:val="000000"/>
                <w:kern w:val="0"/>
                <w:sz w:val="21"/>
                <w:szCs w:val="21"/>
                <w:lang w:val="en-US" w:eastAsia="zh-CN" w:bidi="ar"/>
              </w:rPr>
              <w:t>衢州市衢江区泰华动物无害化处理厂统一处理。</w:t>
            </w:r>
          </w:p>
        </w:tc>
        <w:tc>
          <w:tcPr>
            <w:tcW w:w="1725" w:type="dxa"/>
            <w:vAlign w:val="center"/>
          </w:tcPr>
          <w:p>
            <w:pPr>
              <w:keepNext w:val="0"/>
              <w:keepLines w:val="0"/>
              <w:widowControl/>
              <w:suppressLineNumbers w:val="0"/>
              <w:spacing w:line="240" w:lineRule="auto"/>
              <w:ind w:left="0" w:leftChars="0" w:firstLine="0" w:firstLineChars="0"/>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企业原设计在饲养过程中产生的牛粪、饲料残渣等经堆肥发酵后制作有机肥，现项目变更为饲养过程中的牛粪、饲料残渣等收集后委托外单位进行无害化处置，委托处置后企业的不利环境影响得以减轻。</w:t>
            </w:r>
          </w:p>
        </w:tc>
        <w:tc>
          <w:tcPr>
            <w:tcW w:w="1223" w:type="dxa"/>
            <w:vAlign w:val="center"/>
          </w:tcPr>
          <w:p>
            <w:pPr>
              <w:keepNext w:val="0"/>
              <w:keepLines w:val="0"/>
              <w:widowControl/>
              <w:suppressLineNumbers w:val="0"/>
              <w:spacing w:line="240" w:lineRule="auto"/>
              <w:ind w:left="0" w:leftChars="0" w:firstLine="0" w:firstLineChars="0"/>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一般固废委托外单位进行无害化处置；危废委托有资质单位处置；病死牛委托衢江区泰华动物无害化处理厂统一处理。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Merge w:val="continue"/>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vertAlign w:val="baseline"/>
                <w:lang w:val="en-US" w:eastAsia="zh-CN" w:bidi="ar"/>
              </w:rPr>
            </w:pPr>
          </w:p>
        </w:tc>
        <w:tc>
          <w:tcPr>
            <w:tcW w:w="3375" w:type="dxa"/>
            <w:gridSpan w:val="2"/>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lang w:val="en-US" w:eastAsia="zh-CN" w:bidi="ar"/>
              </w:rPr>
              <w:t>事故废水暂存能力或拦截设施变化，导致环境风险防范能力弱化或降低的</w:t>
            </w:r>
          </w:p>
        </w:tc>
        <w:tc>
          <w:tcPr>
            <w:tcW w:w="1590" w:type="dxa"/>
            <w:vAlign w:val="center"/>
          </w:tcPr>
          <w:p>
            <w:pPr>
              <w:keepNext w:val="0"/>
              <w:keepLines w:val="0"/>
              <w:widowControl/>
              <w:suppressLineNumbers w:val="0"/>
              <w:spacing w:line="240" w:lineRule="auto"/>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w:t>
            </w:r>
          </w:p>
        </w:tc>
        <w:tc>
          <w:tcPr>
            <w:tcW w:w="1725" w:type="dxa"/>
            <w:vAlign w:val="center"/>
          </w:tcPr>
          <w:p>
            <w:pPr>
              <w:keepNext w:val="0"/>
              <w:keepLines w:val="0"/>
              <w:widowControl/>
              <w:suppressLineNumbers w:val="0"/>
              <w:spacing w:line="240" w:lineRule="auto"/>
              <w:ind w:left="0" w:leftChars="0" w:firstLine="0" w:firstLineChars="0"/>
              <w:jc w:val="center"/>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企业利用缓建的8000m3的污水处理池</w:t>
            </w:r>
            <w:r>
              <w:rPr>
                <w:rFonts w:hint="eastAsia" w:asciiTheme="minorEastAsia" w:hAnsiTheme="minorEastAsia" w:eastAsiaTheme="minorEastAsia" w:cstheme="minorEastAsia"/>
                <w:color w:val="000000"/>
                <w:kern w:val="0"/>
                <w:sz w:val="21"/>
                <w:szCs w:val="21"/>
                <w:lang w:val="en-US" w:eastAsia="zh-CN" w:bidi="ar"/>
              </w:rPr>
              <w:t>作事故应急池用。</w:t>
            </w:r>
          </w:p>
        </w:tc>
        <w:tc>
          <w:tcPr>
            <w:tcW w:w="1223" w:type="dxa"/>
            <w:vAlign w:val="center"/>
          </w:tcPr>
          <w:p>
            <w:pPr>
              <w:keepNext w:val="0"/>
              <w:keepLines w:val="0"/>
              <w:widowControl/>
              <w:suppressLineNumbers w:val="0"/>
              <w:spacing w:line="240" w:lineRule="auto"/>
              <w:ind w:left="0" w:leftChars="0" w:firstLine="0" w:firstLineChars="0"/>
              <w:jc w:val="both"/>
              <w:rPr>
                <w:rFonts w:hint="default" w:asciiTheme="minorEastAsia" w:hAnsiTheme="minorEastAsia" w:eastAsiaTheme="minorEastAsia" w:cstheme="minorEastAsia"/>
                <w:color w:val="000000"/>
                <w:kern w:val="0"/>
                <w:sz w:val="21"/>
                <w:szCs w:val="21"/>
                <w:vertAlign w:val="baseline"/>
                <w:lang w:val="en-US" w:eastAsia="zh-CN" w:bidi="ar"/>
              </w:rPr>
            </w:pPr>
            <w:r>
              <w:rPr>
                <w:rFonts w:hint="eastAsia" w:asciiTheme="minorEastAsia" w:hAnsiTheme="minorEastAsia" w:eastAsiaTheme="minorEastAsia" w:cstheme="minorEastAsia"/>
                <w:color w:val="000000"/>
                <w:kern w:val="0"/>
                <w:sz w:val="21"/>
                <w:szCs w:val="21"/>
                <w:vertAlign w:val="baseline"/>
                <w:lang w:val="en-US" w:eastAsia="zh-CN" w:bidi="ar"/>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atLeast"/>
        </w:trPr>
        <w:tc>
          <w:tcPr>
            <w:tcW w:w="8522" w:type="dxa"/>
            <w:gridSpan w:val="6"/>
          </w:tcPr>
          <w:p>
            <w:pPr>
              <w:pStyle w:val="9"/>
              <w:rPr>
                <w:rFonts w:hint="default" w:eastAsia="仿宋"/>
                <w:lang w:val="en-US" w:eastAsia="zh-CN"/>
              </w:rPr>
            </w:pPr>
            <w:r>
              <w:rPr>
                <w:rFonts w:hint="eastAsia" w:asciiTheme="minorEastAsia" w:hAnsiTheme="minorEastAsia" w:eastAsiaTheme="minorEastAsia" w:cstheme="minorEastAsia"/>
                <w:b w:val="0"/>
                <w:bCs w:val="0"/>
                <w:color w:val="auto"/>
                <w:kern w:val="0"/>
                <w:sz w:val="21"/>
                <w:szCs w:val="21"/>
                <w:lang w:val="en-US" w:eastAsia="zh-CN" w:bidi="ar"/>
              </w:rPr>
              <w:t>变更情况综合描述：</w:t>
            </w:r>
            <w:r>
              <w:rPr>
                <w:rFonts w:hint="eastAsia" w:asciiTheme="minorEastAsia" w:hAnsiTheme="minorEastAsia" w:eastAsiaTheme="minorEastAsia" w:cstheme="minorEastAsia"/>
                <w:b w:val="0"/>
                <w:bCs w:val="0"/>
                <w:color w:val="000000"/>
                <w:kern w:val="0"/>
                <w:sz w:val="21"/>
                <w:szCs w:val="21"/>
                <w:lang w:val="en-US" w:eastAsia="zh-CN" w:bidi="ar"/>
              </w:rPr>
              <w:t>对比“环办环评函[2020]688 号”文件，项目的废气污染处理设施和废水处理设施发生了变动：原设计养殖过程中产生的牛粪便、沼渣、饲料残渣及杂质和污泥收集后经堆肥发酵后制作有机肥基料，其在堆肥好氧发酵过程中产生的</w:t>
            </w:r>
            <w:r>
              <w:rPr>
                <w:rFonts w:hint="eastAsia" w:asciiTheme="minorEastAsia" w:hAnsiTheme="minorEastAsia" w:eastAsiaTheme="minorEastAsia" w:cstheme="minorEastAsia"/>
                <w:color w:val="000000"/>
                <w:kern w:val="0"/>
                <w:sz w:val="21"/>
                <w:szCs w:val="21"/>
                <w:lang w:val="en-US" w:eastAsia="zh-CN" w:bidi="ar"/>
              </w:rPr>
              <w:t>臭气经除臭剂喷淋处理工艺处理后通过 15m 排气筒排放。现变更为：</w:t>
            </w:r>
            <w:r>
              <w:rPr>
                <w:rFonts w:hint="eastAsia" w:asciiTheme="minorEastAsia" w:hAnsiTheme="minorEastAsia" w:eastAsiaTheme="minorEastAsia" w:cstheme="minorEastAsia"/>
                <w:b w:val="0"/>
                <w:bCs w:val="0"/>
                <w:color w:val="000000"/>
                <w:kern w:val="0"/>
                <w:sz w:val="21"/>
                <w:szCs w:val="21"/>
                <w:lang w:val="en-US" w:eastAsia="zh-CN" w:bidi="ar"/>
              </w:rPr>
              <w:t>养殖过程中产生的牛粪便、沼渣、饲料残渣及杂质和污泥收集后委托浙江一海新能源有限公司进行无害化处理。原污水处理设施因采用了干清粪养殖工艺，在实际的饲养过程中</w:t>
            </w:r>
            <w:r>
              <w:rPr>
                <w:rFonts w:hint="eastAsia" w:asciiTheme="minorEastAsia" w:hAnsiTheme="minorEastAsia" w:eastAsiaTheme="minorEastAsia" w:cstheme="minorEastAsia"/>
                <w:lang w:val="en-US" w:eastAsia="zh-CN"/>
              </w:rPr>
              <w:t>废水产生量较少，目前全部混入干粪中，</w:t>
            </w:r>
          </w:p>
          <w:p>
            <w:pPr>
              <w:keepNext w:val="0"/>
              <w:keepLines w:val="0"/>
              <w:widowControl/>
              <w:suppressLineNumbers w:val="0"/>
              <w:spacing w:line="240" w:lineRule="auto"/>
              <w:ind w:left="0" w:leftChars="0" w:firstLine="0" w:firstLineChars="0"/>
              <w:jc w:val="left"/>
              <w:rPr>
                <w:rFonts w:hint="default" w:asciiTheme="minorEastAsia" w:hAnsiTheme="minorEastAsia" w:cstheme="minorEastAsia"/>
                <w:color w:val="000000"/>
                <w:kern w:val="0"/>
                <w:sz w:val="24"/>
                <w:szCs w:val="24"/>
                <w:vertAlign w:val="baseline"/>
                <w:lang w:val="en-US" w:eastAsia="zh-CN" w:bidi="ar"/>
              </w:rPr>
            </w:pPr>
            <w:r>
              <w:rPr>
                <w:rFonts w:hint="eastAsia" w:asciiTheme="minorEastAsia" w:hAnsiTheme="minorEastAsia" w:eastAsiaTheme="minorEastAsia" w:cstheme="minorEastAsia"/>
                <w:b w:val="0"/>
                <w:bCs w:val="0"/>
                <w:color w:val="000000"/>
                <w:kern w:val="0"/>
                <w:sz w:val="21"/>
                <w:szCs w:val="21"/>
                <w:lang w:val="en-US" w:eastAsia="zh-CN" w:bidi="ar"/>
              </w:rPr>
              <w:t>故原污水处理设施现已暂缓建设。</w:t>
            </w:r>
          </w:p>
        </w:tc>
      </w:tr>
    </w:tbl>
    <w:p>
      <w:pPr>
        <w:bidi w:val="0"/>
        <w:rPr>
          <w:rFonts w:hint="eastAsia" w:asciiTheme="minorEastAsia" w:hAnsiTheme="minorEastAsia" w:eastAsiaTheme="minorEastAsia" w:cstheme="minorEastAsia"/>
          <w:lang w:val="en-US" w:eastAsia="zh-CN"/>
        </w:rPr>
      </w:pPr>
      <w:bookmarkStart w:id="84" w:name="_Toc16577"/>
      <w:bookmarkStart w:id="85" w:name="_Toc14693"/>
    </w:p>
    <w:p>
      <w:pPr>
        <w:pStyle w:val="28"/>
        <w:numPr>
          <w:ilvl w:val="0"/>
          <w:numId w:val="0"/>
        </w:numPr>
        <w:spacing w:line="360" w:lineRule="auto"/>
        <w:ind w:firstLine="480" w:firstLineChars="200"/>
        <w:rPr>
          <w:rFonts w:hint="eastAsia" w:ascii="宋体" w:hAnsi="宋体" w:eastAsia="宋体" w:cs="宋体"/>
          <w:sz w:val="24"/>
          <w:szCs w:val="24"/>
          <w:lang w:val="en-US" w:eastAsia="zh-CN"/>
        </w:rPr>
      </w:pPr>
      <w:r>
        <w:rPr>
          <w:rFonts w:hint="eastAsia" w:asciiTheme="minorEastAsia" w:hAnsiTheme="minorEastAsia" w:eastAsiaTheme="minorEastAsia" w:cstheme="minorEastAsia"/>
          <w:sz w:val="24"/>
          <w:szCs w:val="24"/>
          <w:lang w:val="en-US" w:eastAsia="zh-CN"/>
        </w:rPr>
        <w:t>项目过程中有机肥生产基料的生产工艺和污水处理设施进行了变更，对照重大变动清单判断，无重大变动，企业按环保管理有关规定要求，履行了项目变更的汇报和协同衢江区生态环境分局进行了现场踏勘，衢江区生态环境分局原则同意：“</w:t>
      </w:r>
      <w:r>
        <w:rPr>
          <w:rFonts w:hint="eastAsia" w:asciiTheme="minorEastAsia" w:hAnsiTheme="minorEastAsia" w:eastAsiaTheme="minorEastAsia" w:cstheme="minorEastAsia"/>
          <w:b w:val="0"/>
          <w:bCs w:val="0"/>
          <w:sz w:val="24"/>
          <w:szCs w:val="24"/>
          <w:lang w:val="en-US" w:eastAsia="zh-CN"/>
        </w:rPr>
        <w:t>衢江区铭泽公司将</w:t>
      </w:r>
      <w:r>
        <w:rPr>
          <w:rFonts w:hint="eastAsia" w:asciiTheme="minorEastAsia" w:hAnsiTheme="minorEastAsia" w:eastAsiaTheme="minorEastAsia" w:cstheme="minorEastAsia"/>
          <w:b w:val="0"/>
          <w:bCs w:val="0"/>
          <w:color w:val="000000"/>
          <w:kern w:val="0"/>
          <w:sz w:val="24"/>
          <w:szCs w:val="24"/>
          <w:lang w:val="en-US" w:eastAsia="zh-CN" w:bidi="ar"/>
        </w:rPr>
        <w:t>养殖过程中产生的牛粪便、沼渣、饲料残渣及杂质和污泥收集后委托浙江一海新能源有限公司进行无害化处理；因养殖采用了干清粪工艺，饲养过程中无养殖废水排放，后续的污水处理设施暂缓建设”。</w:t>
      </w:r>
      <w:r>
        <w:rPr>
          <w:rFonts w:hint="eastAsia" w:asciiTheme="minorEastAsia" w:hAnsiTheme="minorEastAsia" w:eastAsiaTheme="minorEastAsia" w:cstheme="minorEastAsia"/>
          <w:sz w:val="24"/>
          <w:szCs w:val="24"/>
          <w:lang w:val="en-US" w:eastAsia="zh-CN"/>
        </w:rPr>
        <w:t>在此基础上</w:t>
      </w:r>
      <w:r>
        <w:rPr>
          <w:rFonts w:hint="eastAsia" w:asciiTheme="minorEastAsia" w:hAnsiTheme="minorEastAsia" w:eastAsiaTheme="minorEastAsia" w:cstheme="minorEastAsia"/>
          <w:sz w:val="24"/>
          <w:szCs w:val="24"/>
          <w:lang w:eastAsia="zh-CN"/>
        </w:rPr>
        <w:t>浙江铭泽</w:t>
      </w:r>
      <w:r>
        <w:rPr>
          <w:rFonts w:hint="eastAsia" w:asciiTheme="minorEastAsia" w:hAnsiTheme="minorEastAsia" w:eastAsiaTheme="minorEastAsia" w:cstheme="minorEastAsia"/>
          <w:sz w:val="24"/>
          <w:szCs w:val="24"/>
          <w:lang w:val="en-US" w:eastAsia="zh-CN"/>
        </w:rPr>
        <w:t>农牧发展</w:t>
      </w:r>
      <w:r>
        <w:rPr>
          <w:rFonts w:hint="eastAsia" w:asciiTheme="minorEastAsia" w:hAnsiTheme="minorEastAsia" w:eastAsiaTheme="minorEastAsia" w:cstheme="minorEastAsia"/>
          <w:sz w:val="24"/>
          <w:szCs w:val="24"/>
          <w:lang w:eastAsia="zh-CN"/>
        </w:rPr>
        <w:t>有限公司</w:t>
      </w:r>
      <w:r>
        <w:rPr>
          <w:rFonts w:hint="eastAsia" w:asciiTheme="minorEastAsia" w:hAnsiTheme="minorEastAsia" w:eastAsiaTheme="minorEastAsia" w:cstheme="minorEastAsia"/>
          <w:sz w:val="24"/>
          <w:szCs w:val="24"/>
          <w:lang w:val="en-US" w:eastAsia="zh-CN"/>
        </w:rPr>
        <w:t>自行组织了</w:t>
      </w:r>
      <w:r>
        <w:rPr>
          <w:rFonts w:hint="eastAsia" w:asciiTheme="minorEastAsia" w:hAnsiTheme="minorEastAsia" w:eastAsiaTheme="minorEastAsia" w:cstheme="minorEastAsia"/>
          <w:sz w:val="24"/>
          <w:szCs w:val="24"/>
          <w:lang w:eastAsia="zh-CN"/>
        </w:rPr>
        <w:t>衢江区铭泽公司肉牛养殖项目（</w:t>
      </w:r>
      <w:r>
        <w:rPr>
          <w:rFonts w:hint="eastAsia" w:asciiTheme="minorEastAsia" w:hAnsiTheme="minorEastAsia" w:eastAsiaTheme="minorEastAsia" w:cstheme="minorEastAsia"/>
          <w:sz w:val="24"/>
          <w:szCs w:val="24"/>
          <w:lang w:val="en-US" w:eastAsia="zh-CN"/>
        </w:rPr>
        <w:t>一期</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项目的竣工环境保护验收工作。</w:t>
      </w:r>
    </w:p>
    <w:p>
      <w:pPr>
        <w:bidi w:val="0"/>
        <w:spacing w:line="360" w:lineRule="auto"/>
        <w:ind w:left="0" w:leftChars="0" w:firstLine="480" w:firstLineChars="200"/>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val="0"/>
          <w:bCs w:val="0"/>
          <w:sz w:val="24"/>
          <w:szCs w:val="24"/>
          <w:lang w:val="en-US" w:eastAsia="zh-CN"/>
        </w:rPr>
        <w:t>衢江区铭泽公司与</w:t>
      </w:r>
      <w:r>
        <w:rPr>
          <w:rFonts w:hint="eastAsia" w:asciiTheme="minorEastAsia" w:hAnsiTheme="minorEastAsia" w:eastAsiaTheme="minorEastAsia" w:cstheme="minorEastAsia"/>
          <w:b w:val="0"/>
          <w:bCs w:val="0"/>
          <w:color w:val="000000"/>
          <w:kern w:val="0"/>
          <w:sz w:val="24"/>
          <w:szCs w:val="24"/>
          <w:lang w:val="en-US" w:eastAsia="zh-CN" w:bidi="ar"/>
        </w:rPr>
        <w:t>浙江一海新能源有限公司的</w:t>
      </w:r>
      <w:r>
        <w:rPr>
          <w:rFonts w:hint="eastAsia" w:asciiTheme="minorEastAsia" w:hAnsiTheme="minorEastAsia" w:eastAsiaTheme="minorEastAsia" w:cstheme="minorEastAsia"/>
          <w:sz w:val="24"/>
          <w:szCs w:val="24"/>
          <w:lang w:val="en-US" w:eastAsia="zh-CN"/>
        </w:rPr>
        <w:t>委托处置协议见附件3。</w:t>
      </w:r>
    </w:p>
    <w:p>
      <w:pPr>
        <w:bidi w:val="0"/>
        <w:ind w:left="0" w:leftChars="0" w:firstLine="0" w:firstLineChars="0"/>
        <w:outlineLvl w:val="1"/>
        <w:rPr>
          <w:rFonts w:hint="eastAsia" w:asciiTheme="minorEastAsia" w:hAnsiTheme="minorEastAsia" w:eastAsiaTheme="minorEastAsia" w:cstheme="minorEastAsia"/>
          <w:b/>
          <w:bCs/>
          <w:sz w:val="28"/>
          <w:szCs w:val="28"/>
        </w:rPr>
      </w:pPr>
      <w:bookmarkStart w:id="86" w:name="_Toc14493"/>
      <w:r>
        <w:rPr>
          <w:rFonts w:hint="eastAsia" w:asciiTheme="minorEastAsia" w:hAnsiTheme="minorEastAsia" w:eastAsiaTheme="minorEastAsia" w:cstheme="minorEastAsia"/>
          <w:b/>
          <w:bCs/>
          <w:sz w:val="28"/>
          <w:szCs w:val="28"/>
          <w:lang w:val="en-US" w:eastAsia="zh-CN"/>
        </w:rPr>
        <w:t>3.6、</w:t>
      </w:r>
      <w:r>
        <w:rPr>
          <w:rFonts w:hint="eastAsia" w:asciiTheme="minorEastAsia" w:hAnsiTheme="minorEastAsia" w:eastAsiaTheme="minorEastAsia" w:cstheme="minorEastAsia"/>
          <w:b/>
          <w:bCs/>
          <w:sz w:val="28"/>
          <w:szCs w:val="28"/>
        </w:rPr>
        <w:t>生产工艺</w:t>
      </w:r>
      <w:bookmarkEnd w:id="79"/>
      <w:r>
        <w:rPr>
          <w:rFonts w:hint="eastAsia" w:asciiTheme="minorEastAsia" w:hAnsiTheme="minorEastAsia" w:eastAsiaTheme="minorEastAsia" w:cstheme="minorEastAsia"/>
          <w:b/>
          <w:bCs/>
          <w:sz w:val="28"/>
          <w:szCs w:val="28"/>
        </w:rPr>
        <w:t>及产污情况</w:t>
      </w:r>
      <w:bookmarkEnd w:id="80"/>
      <w:bookmarkEnd w:id="84"/>
      <w:bookmarkEnd w:id="85"/>
      <w:bookmarkEnd w:id="86"/>
    </w:p>
    <w:p>
      <w:pPr>
        <w:keepNext w:val="0"/>
        <w:keepLines w:val="0"/>
        <w:widowControl/>
        <w:suppressLineNumbers w:val="0"/>
        <w:spacing w:line="360" w:lineRule="auto"/>
        <w:jc w:val="left"/>
      </w:pPr>
      <w:r>
        <w:rPr>
          <w:rFonts w:hint="eastAsia" w:ascii="宋体" w:hAnsi="宋体" w:eastAsia="宋体" w:cs="宋体"/>
          <w:color w:val="000000"/>
          <w:kern w:val="0"/>
          <w:sz w:val="24"/>
          <w:szCs w:val="24"/>
          <w:lang w:val="en-US" w:eastAsia="zh-CN" w:bidi="ar"/>
        </w:rPr>
        <w:t xml:space="preserve">本项目主要进行肉牛的养殖，主要工艺包括饲料加工工艺、肉牛饲养工艺、粪污处理工艺等，各工艺介绍如下： </w:t>
      </w:r>
    </w:p>
    <w:p>
      <w:pPr>
        <w:spacing w:line="360" w:lineRule="auto"/>
        <w:rPr>
          <w:rFonts w:ascii="宋体" w:hAnsi="宋体" w:eastAsia="宋体" w:cs="仿宋"/>
          <w:b/>
          <w:bCs/>
          <w:spacing w:val="19"/>
          <w:sz w:val="24"/>
          <w:szCs w:val="24"/>
        </w:rPr>
      </w:pPr>
      <w:r>
        <w:rPr>
          <w:rFonts w:ascii="宋体" w:hAnsi="宋体" w:eastAsia="宋体" w:cs="仿宋"/>
          <w:b/>
          <w:bCs/>
          <w:spacing w:val="19"/>
          <w:sz w:val="24"/>
          <w:szCs w:val="24"/>
        </w:rPr>
        <w:t>(1)</w:t>
      </w:r>
      <w:r>
        <w:rPr>
          <w:rFonts w:hint="eastAsia" w:ascii="宋体" w:hAnsi="宋体" w:eastAsia="宋体" w:cs="仿宋"/>
          <w:b/>
          <w:bCs/>
          <w:spacing w:val="19"/>
          <w:sz w:val="24"/>
          <w:szCs w:val="24"/>
        </w:rPr>
        <w:t>饲料加工工艺流程</w:t>
      </w:r>
    </w:p>
    <w:p>
      <w:pPr>
        <w:bidi w:val="0"/>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t>饲料原料有青贮草料、精饲料、干饲料三种。青贮饲草原料以含糖量多的玉米秸秆、花生秧、小麦秸秆、牧草等为主。精饲料以玉米、麸皮等为主。</w:t>
      </w:r>
    </w:p>
    <w:p>
      <w:pPr>
        <w:bidi w:val="0"/>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t>饲料喂养和管理标准参照国家《无公害食品肉牛饲养饲料使用准则（NY/T5127—2002）、《无公害食品肉牛饲养管理准则》（NY/T512—2002），制定适宜本项目条件的日粮配方和肉牛饲养技术操作规程，探索总结现代肉牛生产管理机制和安全生产措施。提高肉牛的集约化饲养水平及优质肉牛生产水平，加速牛群周转。</w:t>
      </w:r>
    </w:p>
    <w:p>
      <w:pPr>
        <w:spacing w:line="360" w:lineRule="auto"/>
        <w:ind w:firstLine="558" w:firstLineChars="200"/>
        <w:rPr>
          <w:rFonts w:ascii="宋体" w:hAnsi="宋体" w:eastAsia="宋体" w:cs="仿宋"/>
          <w:b/>
          <w:bCs/>
          <w:spacing w:val="19"/>
          <w:sz w:val="24"/>
          <w:szCs w:val="24"/>
        </w:rPr>
      </w:pPr>
      <w:r>
        <w:rPr>
          <w:rFonts w:hint="eastAsia" w:ascii="宋体" w:hAnsi="宋体" w:eastAsia="宋体" w:cs="宋体"/>
          <w:b/>
          <w:bCs/>
          <w:spacing w:val="19"/>
          <w:sz w:val="24"/>
          <w:szCs w:val="24"/>
        </w:rPr>
        <w:t>①</w:t>
      </w:r>
      <w:r>
        <w:rPr>
          <w:rFonts w:hint="eastAsia" w:ascii="宋体" w:hAnsi="宋体" w:eastAsia="宋体" w:cs="仿宋"/>
          <w:b/>
          <w:bCs/>
          <w:spacing w:val="19"/>
          <w:sz w:val="24"/>
          <w:szCs w:val="24"/>
        </w:rPr>
        <w:t>青储饲料加工</w:t>
      </w:r>
    </w:p>
    <w:p>
      <w:pPr>
        <w:bidi w:val="0"/>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t>将收割牧草、青玉米秸秆等原料，铡成2-3 厘米长的短节后马上填装，均匀平铺，踩踏压实（在底部和周围铺衬塑料地膜，以防透气透水）；青贮填料后，要及时封闭发酵。一般贮后30-40天便可启封饲喂，随用随开，每次出料足够喂1次或1天的即可，出料后立即将开口盖好。青储饲料发酵过程无废气产生。</w:t>
      </w:r>
    </w:p>
    <w:p>
      <w:pPr>
        <w:spacing w:line="360" w:lineRule="auto"/>
        <w:ind w:firstLine="558" w:firstLineChars="200"/>
        <w:rPr>
          <w:rFonts w:ascii="宋体" w:hAnsi="宋体" w:eastAsia="宋体" w:cs="仿宋"/>
          <w:b/>
          <w:bCs/>
          <w:spacing w:val="19"/>
          <w:sz w:val="24"/>
          <w:szCs w:val="24"/>
        </w:rPr>
      </w:pPr>
      <w:r>
        <w:rPr>
          <w:rFonts w:hint="eastAsia" w:ascii="宋体" w:hAnsi="宋体" w:eastAsia="宋体" w:cs="宋体"/>
          <w:b/>
          <w:bCs/>
          <w:spacing w:val="19"/>
          <w:sz w:val="24"/>
          <w:szCs w:val="24"/>
        </w:rPr>
        <w:t>②</w:t>
      </w:r>
      <w:r>
        <w:rPr>
          <w:rFonts w:hint="eastAsia" w:ascii="宋体" w:hAnsi="宋体" w:eastAsia="宋体" w:cs="仿宋"/>
          <w:b/>
          <w:bCs/>
          <w:spacing w:val="19"/>
          <w:sz w:val="24"/>
          <w:szCs w:val="24"/>
        </w:rPr>
        <w:t>精饲料加工</w:t>
      </w:r>
    </w:p>
    <w:p>
      <w:pPr>
        <w:bidi w:val="0"/>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t>项目外购原料主要为玉米、豆粕、麸皮、鱼粉、预混料、膨化大豆粉等，经初步检查后人工将原料倒入投料口。项目原料中除玉米外其余原料均为粉状，除铁后直接进入配料仓，玉米则需经粉碎机粉碎后方进入配料仓。然后，根据配方对各成分原料分别配比后进行搅拌混合后即为饲料成品，进入成品仓。成品饲料采用管道或密闭料车送往各栏舍料塔，采用自动化喂养系统进行喂食。</w:t>
      </w:r>
    </w:p>
    <w:p>
      <w:pPr>
        <w:bidi w:val="0"/>
        <w:spacing w:line="360" w:lineRule="auto"/>
        <w:rPr>
          <w:rFonts w:hint="eastAsia" w:asciiTheme="minorEastAsia" w:hAnsiTheme="minorEastAsia" w:eastAsiaTheme="minorEastAsia" w:cstheme="minorEastAsia"/>
          <w:b/>
          <w:bCs/>
        </w:rPr>
      </w:pPr>
      <w:r>
        <w:rPr>
          <w:rFonts w:hint="eastAsia" w:asciiTheme="minorEastAsia" w:hAnsiTheme="minorEastAsia" w:eastAsiaTheme="minorEastAsia" w:cstheme="minorEastAsia"/>
          <w:b/>
          <w:bCs/>
        </w:rPr>
        <w:t>③全混合日粮（TMR）搅拌工艺</w:t>
      </w:r>
    </w:p>
    <w:p>
      <w:pPr>
        <w:bidi w:val="0"/>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t>全混合日粮（TMR）指根据肉牛营养需要，把青贮饲料、干饲料、精饲料等按合理的比例及要求，加入饲料添加剂，利用TMR搅拌机进行搅拌，使之成为混合均匀、营养平衡的日粮，日粮的配制需按照肉牛的不同阶段进行配制，搅拌时间为5-8分钟。</w:t>
      </w:r>
    </w:p>
    <w:p>
      <w:pPr>
        <w:spacing w:line="360" w:lineRule="auto"/>
        <w:rPr>
          <w:rFonts w:ascii="宋体" w:hAnsi="宋体" w:eastAsia="宋体" w:cs="仿宋"/>
          <w:spacing w:val="19"/>
          <w:sz w:val="24"/>
          <w:szCs w:val="24"/>
        </w:rPr>
      </w:pPr>
      <w:r>
        <w:rPr>
          <w:snapToGrid/>
        </w:rPr>
        <w:drawing>
          <wp:inline distT="0" distB="0" distL="0" distR="0">
            <wp:extent cx="5340350" cy="1490345"/>
            <wp:effectExtent l="0" t="0" r="12700" b="146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9"/>
                    <a:stretch>
                      <a:fillRect/>
                    </a:stretch>
                  </pic:blipFill>
                  <pic:spPr>
                    <a:xfrm>
                      <a:off x="0" y="0"/>
                      <a:ext cx="5341089" cy="1490715"/>
                    </a:xfrm>
                    <a:prstGeom prst="rect">
                      <a:avLst/>
                    </a:prstGeom>
                  </pic:spPr>
                </pic:pic>
              </a:graphicData>
            </a:graphic>
          </wp:inline>
        </w:drawing>
      </w:r>
    </w:p>
    <w:p>
      <w:pPr>
        <w:spacing w:before="77" w:line="231" w:lineRule="auto"/>
        <w:jc w:val="center"/>
        <w:rPr>
          <w:rFonts w:ascii="黑体" w:hAnsi="黑体" w:eastAsia="黑体" w:cs="仿宋"/>
          <w:spacing w:val="26"/>
          <w:sz w:val="24"/>
          <w:szCs w:val="24"/>
          <w14:textOutline w14:w="4356" w14:cap="sq" w14:cmpd="sng" w14:algn="ctr">
            <w14:solidFill>
              <w14:srgbClr w14:val="000000"/>
            </w14:solidFill>
            <w14:prstDash w14:val="solid"/>
            <w14:bevel/>
          </w14:textOutline>
        </w:rPr>
      </w:pPr>
      <w:r>
        <w:rPr>
          <w:rFonts w:hint="eastAsia" w:ascii="黑体" w:hAnsi="黑体" w:eastAsia="黑体" w:cs="仿宋"/>
          <w:spacing w:val="26"/>
          <w:sz w:val="24"/>
          <w:szCs w:val="24"/>
          <w14:textOutline w14:w="4356" w14:cap="sq" w14:cmpd="sng" w14:algn="ctr">
            <w14:solidFill>
              <w14:srgbClr w14:val="000000"/>
            </w14:solidFill>
            <w14:prstDash w14:val="solid"/>
            <w14:bevel/>
          </w14:textOutline>
        </w:rPr>
        <w:t>图3</w:t>
      </w:r>
      <w:r>
        <w:rPr>
          <w:rFonts w:ascii="黑体" w:hAnsi="黑体" w:eastAsia="黑体" w:cs="仿宋"/>
          <w:spacing w:val="26"/>
          <w:sz w:val="24"/>
          <w:szCs w:val="24"/>
          <w14:textOutline w14:w="4356" w14:cap="sq" w14:cmpd="sng" w14:algn="ctr">
            <w14:solidFill>
              <w14:srgbClr w14:val="000000"/>
            </w14:solidFill>
            <w14:prstDash w14:val="solid"/>
            <w14:bevel/>
          </w14:textOutline>
        </w:rPr>
        <w:t>.</w:t>
      </w:r>
      <w:r>
        <w:rPr>
          <w:rFonts w:hint="eastAsia" w:ascii="黑体" w:hAnsi="黑体" w:eastAsia="黑体" w:cs="仿宋"/>
          <w:spacing w:val="26"/>
          <w:sz w:val="24"/>
          <w:szCs w:val="24"/>
          <w:lang w:val="en-US" w:eastAsia="zh-CN"/>
          <w14:textOutline w14:w="4356" w14:cap="sq" w14:cmpd="sng" w14:algn="ctr">
            <w14:solidFill>
              <w14:srgbClr w14:val="000000"/>
            </w14:solidFill>
            <w14:prstDash w14:val="solid"/>
            <w14:bevel/>
          </w14:textOutline>
        </w:rPr>
        <w:t>6</w:t>
      </w:r>
      <w:r>
        <w:rPr>
          <w:rFonts w:ascii="黑体" w:hAnsi="黑体" w:eastAsia="黑体" w:cs="仿宋"/>
          <w:spacing w:val="26"/>
          <w:sz w:val="24"/>
          <w:szCs w:val="24"/>
          <w14:textOutline w14:w="4356" w14:cap="sq" w14:cmpd="sng" w14:algn="ctr">
            <w14:solidFill>
              <w14:srgbClr w14:val="000000"/>
            </w14:solidFill>
            <w14:prstDash w14:val="solid"/>
            <w14:bevel/>
          </w14:textOutline>
        </w:rPr>
        <w:t xml:space="preserve">-1 </w:t>
      </w:r>
      <w:r>
        <w:rPr>
          <w:rFonts w:hint="eastAsia" w:ascii="黑体" w:hAnsi="黑体" w:eastAsia="黑体" w:cs="仿宋"/>
          <w:spacing w:val="26"/>
          <w:sz w:val="24"/>
          <w:szCs w:val="24"/>
          <w14:textOutline w14:w="4356" w14:cap="sq" w14:cmpd="sng" w14:algn="ctr">
            <w14:solidFill>
              <w14:srgbClr w14:val="000000"/>
            </w14:solidFill>
            <w14:prstDash w14:val="solid"/>
            <w14:bevel/>
          </w14:textOutline>
        </w:rPr>
        <w:t>饲料加工</w:t>
      </w:r>
      <w:r>
        <w:rPr>
          <w:rFonts w:ascii="黑体" w:hAnsi="黑体" w:eastAsia="黑体" w:cs="仿宋"/>
          <w:spacing w:val="26"/>
          <w:sz w:val="24"/>
          <w:szCs w:val="24"/>
          <w14:textOutline w14:w="4356" w14:cap="sq" w14:cmpd="sng" w14:algn="ctr">
            <w14:solidFill>
              <w14:srgbClr w14:val="000000"/>
            </w14:solidFill>
            <w14:prstDash w14:val="solid"/>
            <w14:bevel/>
          </w14:textOutline>
        </w:rPr>
        <w:t>工艺流程图</w:t>
      </w:r>
    </w:p>
    <w:p>
      <w:pPr>
        <w:spacing w:line="360" w:lineRule="auto"/>
        <w:rPr>
          <w:rFonts w:ascii="宋体" w:hAnsi="宋体" w:eastAsia="宋体" w:cs="仿宋"/>
          <w:b/>
          <w:bCs/>
          <w:spacing w:val="19"/>
          <w:sz w:val="24"/>
          <w:szCs w:val="24"/>
        </w:rPr>
      </w:pPr>
    </w:p>
    <w:p>
      <w:pPr>
        <w:spacing w:line="360" w:lineRule="auto"/>
        <w:rPr>
          <w:rFonts w:ascii="宋体" w:hAnsi="宋体" w:eastAsia="宋体" w:cs="仿宋"/>
          <w:b/>
          <w:bCs/>
          <w:spacing w:val="19"/>
          <w:sz w:val="24"/>
          <w:szCs w:val="24"/>
        </w:rPr>
      </w:pPr>
      <w:r>
        <w:rPr>
          <w:rFonts w:ascii="宋体" w:hAnsi="宋体" w:eastAsia="宋体" w:cs="仿宋"/>
          <w:b/>
          <w:bCs/>
          <w:spacing w:val="19"/>
          <w:sz w:val="24"/>
          <w:szCs w:val="24"/>
        </w:rPr>
        <w:t>(2)</w:t>
      </w:r>
      <w:r>
        <w:rPr>
          <w:rFonts w:hint="eastAsia" w:ascii="宋体" w:hAnsi="宋体" w:eastAsia="宋体" w:cs="仿宋"/>
          <w:b/>
          <w:bCs/>
          <w:spacing w:val="19"/>
          <w:sz w:val="24"/>
          <w:szCs w:val="24"/>
        </w:rPr>
        <w:t>肉牛饲养工艺流程</w:t>
      </w:r>
    </w:p>
    <w:p>
      <w:pPr>
        <w:bidi w:val="0"/>
        <w:rPr>
          <w:rFonts w:hint="eastAsia" w:asciiTheme="minorEastAsia" w:hAnsiTheme="minorEastAsia" w:eastAsiaTheme="minorEastAsia" w:cstheme="minorEastAsia"/>
        </w:rPr>
      </w:pPr>
      <w:r>
        <w:rPr>
          <w:rFonts w:hint="eastAsia" w:asciiTheme="minorEastAsia" w:hAnsiTheme="minorEastAsia" w:eastAsiaTheme="minorEastAsia" w:cstheme="minorEastAsia"/>
        </w:rPr>
        <w:t>项目主要进行肉牛育肥，牛犊均进行采购。肉牛养殖的工艺流程如下图所示。</w:t>
      </w:r>
    </w:p>
    <w:p>
      <w:pPr>
        <w:spacing w:line="360" w:lineRule="auto"/>
        <w:ind w:firstLine="578"/>
        <w:jc w:val="center"/>
        <w:rPr>
          <w:rFonts w:ascii="宋体" w:hAnsi="宋体" w:eastAsia="宋体" w:cs="仿宋"/>
          <w:spacing w:val="19"/>
          <w:sz w:val="24"/>
          <w:szCs w:val="24"/>
        </w:rPr>
      </w:pPr>
      <w:r>
        <w:rPr>
          <w:snapToGrid/>
        </w:rPr>
        <w:drawing>
          <wp:inline distT="0" distB="0" distL="0" distR="0">
            <wp:extent cx="1432560" cy="2247900"/>
            <wp:effectExtent l="0" t="0" r="152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0"/>
                    <a:stretch>
                      <a:fillRect/>
                    </a:stretch>
                  </pic:blipFill>
                  <pic:spPr>
                    <a:xfrm>
                      <a:off x="0" y="0"/>
                      <a:ext cx="1436026" cy="2252849"/>
                    </a:xfrm>
                    <a:prstGeom prst="rect">
                      <a:avLst/>
                    </a:prstGeom>
                  </pic:spPr>
                </pic:pic>
              </a:graphicData>
            </a:graphic>
          </wp:inline>
        </w:drawing>
      </w:r>
    </w:p>
    <w:p>
      <w:pPr>
        <w:spacing w:before="77" w:line="231" w:lineRule="auto"/>
        <w:jc w:val="center"/>
        <w:rPr>
          <w:rFonts w:ascii="黑体" w:hAnsi="黑体" w:eastAsia="黑体" w:cs="仿宋"/>
          <w:spacing w:val="26"/>
          <w:sz w:val="24"/>
          <w:szCs w:val="24"/>
          <w14:textOutline w14:w="4356" w14:cap="sq" w14:cmpd="sng" w14:algn="ctr">
            <w14:solidFill>
              <w14:srgbClr w14:val="000000"/>
            </w14:solidFill>
            <w14:prstDash w14:val="solid"/>
            <w14:bevel/>
          </w14:textOutline>
        </w:rPr>
      </w:pPr>
      <w:r>
        <w:rPr>
          <w:rFonts w:hint="eastAsia" w:ascii="黑体" w:hAnsi="黑体" w:eastAsia="黑体" w:cs="仿宋"/>
          <w:spacing w:val="26"/>
          <w:sz w:val="24"/>
          <w:szCs w:val="24"/>
          <w14:textOutline w14:w="4356" w14:cap="sq" w14:cmpd="sng" w14:algn="ctr">
            <w14:solidFill>
              <w14:srgbClr w14:val="000000"/>
            </w14:solidFill>
            <w14:prstDash w14:val="solid"/>
            <w14:bevel/>
          </w14:textOutline>
        </w:rPr>
        <w:t>图3</w:t>
      </w:r>
      <w:r>
        <w:rPr>
          <w:rFonts w:ascii="黑体" w:hAnsi="黑体" w:eastAsia="黑体" w:cs="仿宋"/>
          <w:spacing w:val="26"/>
          <w:sz w:val="24"/>
          <w:szCs w:val="24"/>
          <w14:textOutline w14:w="4356" w14:cap="sq" w14:cmpd="sng" w14:algn="ctr">
            <w14:solidFill>
              <w14:srgbClr w14:val="000000"/>
            </w14:solidFill>
            <w14:prstDash w14:val="solid"/>
            <w14:bevel/>
          </w14:textOutline>
        </w:rPr>
        <w:t>.</w:t>
      </w:r>
      <w:r>
        <w:rPr>
          <w:rFonts w:hint="eastAsia" w:ascii="黑体" w:hAnsi="黑体" w:eastAsia="黑体" w:cs="仿宋"/>
          <w:spacing w:val="26"/>
          <w:sz w:val="24"/>
          <w:szCs w:val="24"/>
          <w:lang w:val="en-US" w:eastAsia="zh-CN"/>
          <w14:textOutline w14:w="4356" w14:cap="sq" w14:cmpd="sng" w14:algn="ctr">
            <w14:solidFill>
              <w14:srgbClr w14:val="000000"/>
            </w14:solidFill>
            <w14:prstDash w14:val="solid"/>
            <w14:bevel/>
          </w14:textOutline>
        </w:rPr>
        <w:t>6</w:t>
      </w:r>
      <w:r>
        <w:rPr>
          <w:rFonts w:ascii="黑体" w:hAnsi="黑体" w:eastAsia="黑体" w:cs="仿宋"/>
          <w:spacing w:val="26"/>
          <w:sz w:val="24"/>
          <w:szCs w:val="24"/>
          <w14:textOutline w14:w="4356" w14:cap="sq" w14:cmpd="sng" w14:algn="ctr">
            <w14:solidFill>
              <w14:srgbClr w14:val="000000"/>
            </w14:solidFill>
            <w14:prstDash w14:val="solid"/>
            <w14:bevel/>
          </w14:textOutline>
        </w:rPr>
        <w:t xml:space="preserve">-2 </w:t>
      </w:r>
      <w:r>
        <w:rPr>
          <w:rFonts w:hint="eastAsia" w:ascii="黑体" w:hAnsi="黑体" w:eastAsia="黑体" w:cs="仿宋"/>
          <w:spacing w:val="26"/>
          <w:sz w:val="24"/>
          <w:szCs w:val="24"/>
          <w14:textOutline w14:w="4356" w14:cap="sq" w14:cmpd="sng" w14:algn="ctr">
            <w14:solidFill>
              <w14:srgbClr w14:val="000000"/>
            </w14:solidFill>
            <w14:prstDash w14:val="solid"/>
            <w14:bevel/>
          </w14:textOutline>
        </w:rPr>
        <w:t>肉牛饲养</w:t>
      </w:r>
      <w:r>
        <w:rPr>
          <w:rFonts w:ascii="黑体" w:hAnsi="黑体" w:eastAsia="黑体" w:cs="仿宋"/>
          <w:spacing w:val="26"/>
          <w:sz w:val="24"/>
          <w:szCs w:val="24"/>
          <w14:textOutline w14:w="4356" w14:cap="sq" w14:cmpd="sng" w14:algn="ctr">
            <w14:solidFill>
              <w14:srgbClr w14:val="000000"/>
            </w14:solidFill>
            <w14:prstDash w14:val="solid"/>
            <w14:bevel/>
          </w14:textOutline>
        </w:rPr>
        <w:t>工艺流程图</w:t>
      </w:r>
    </w:p>
    <w:p>
      <w:pPr>
        <w:spacing w:before="77" w:line="231" w:lineRule="auto"/>
        <w:jc w:val="center"/>
        <w:rPr>
          <w:rFonts w:hint="eastAsia" w:ascii="黑体" w:hAnsi="黑体" w:eastAsia="黑体" w:cs="仿宋"/>
          <w:spacing w:val="26"/>
          <w:sz w:val="24"/>
          <w:szCs w:val="24"/>
          <w:lang w:val="en-US" w:eastAsia="zh-CN"/>
          <w14:textOutline w14:w="4356" w14:cap="sq" w14:cmpd="sng" w14:algn="ctr">
            <w14:solidFill>
              <w14:srgbClr w14:val="000000"/>
            </w14:solidFill>
            <w14:prstDash w14:val="solid"/>
            <w14:bevel/>
          </w14:textOutline>
        </w:rPr>
      </w:pPr>
      <w:r>
        <w:rPr>
          <w:rFonts w:hint="eastAsia" w:ascii="黑体" w:hAnsi="黑体" w:eastAsia="黑体" w:cs="仿宋"/>
          <w:spacing w:val="26"/>
          <w:sz w:val="24"/>
          <w:szCs w:val="24"/>
          <w:lang w:val="en-US" w:eastAsia="zh-CN"/>
          <w14:textOutline w14:w="4356" w14:cap="sq" w14:cmpd="sng" w14:algn="ctr">
            <w14:solidFill>
              <w14:srgbClr w14:val="000000"/>
            </w14:solidFill>
            <w14:prstDash w14:val="solid"/>
            <w14:bevel/>
          </w14:textOutline>
        </w:rPr>
        <w:t xml:space="preserve"> </w:t>
      </w:r>
    </w:p>
    <w:p>
      <w:pPr>
        <w:bidi w:val="0"/>
        <w:spacing w:line="360" w:lineRule="auto"/>
        <w:rPr>
          <w:rFonts w:hint="eastAsia" w:eastAsia="仿宋"/>
          <w:lang w:eastAsia="zh-CN"/>
        </w:rPr>
      </w:pPr>
      <w:r>
        <w:rPr>
          <w:rFonts w:hint="eastAsia" w:asciiTheme="minorEastAsia" w:hAnsiTheme="minorEastAsia" w:eastAsiaTheme="minorEastAsia" w:cstheme="minorEastAsia"/>
        </w:rPr>
        <w:t>外购犊牛体重在250kg，送入犊牛栏舍进行育肥，育肥期为12个月，体重达到1300kg 结束育肥，出栏外售。</w:t>
      </w:r>
    </w:p>
    <w:p>
      <w:pPr>
        <w:spacing w:line="360" w:lineRule="auto"/>
        <w:rPr>
          <w:rFonts w:ascii="宋体" w:hAnsi="宋体" w:eastAsia="宋体" w:cs="仿宋"/>
          <w:b/>
          <w:bCs/>
          <w:spacing w:val="19"/>
          <w:sz w:val="24"/>
          <w:szCs w:val="24"/>
        </w:rPr>
      </w:pPr>
      <w:r>
        <w:rPr>
          <w:rFonts w:ascii="宋体" w:hAnsi="宋体" w:eastAsia="宋体" w:cs="仿宋"/>
          <w:b/>
          <w:bCs/>
          <w:spacing w:val="19"/>
          <w:sz w:val="24"/>
          <w:szCs w:val="24"/>
        </w:rPr>
        <w:t>(3)</w:t>
      </w:r>
      <w:r>
        <w:rPr>
          <w:rFonts w:hint="eastAsia" w:ascii="宋体" w:hAnsi="宋体" w:eastAsia="宋体" w:cs="仿宋"/>
          <w:b/>
          <w:bCs/>
          <w:spacing w:val="19"/>
          <w:sz w:val="24"/>
          <w:szCs w:val="24"/>
        </w:rPr>
        <w:t>肉牛养殖废弃物处理工艺</w:t>
      </w:r>
    </w:p>
    <w:p>
      <w:pPr>
        <w:bidi w:val="0"/>
        <w:spacing w:line="360" w:lineRule="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原环评设计肉牛在饲养过程中产生的牛粪便、沼渣、饲料残渣及杂质和污泥等收集后经好氧发酵罐堆肥发酵后制作有机肥基料，牛尿及其他养殖废水经收集至废水处理站处理后废水管道输送至林地灌溉，厌氧发酵产生的沼气经脱硫装置处理后用于食堂炊事，多余沼气经火炬燃烧器进行充分燃烧后通过3m排气筒低空排放。</w:t>
      </w:r>
    </w:p>
    <w:p>
      <w:pPr>
        <w:pStyle w:val="28"/>
        <w:spacing w:line="360" w:lineRule="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项目在设施过程中采用了清干粪饲养技术，饲养过程少量的养殖废水混于牛粪和饲料残渣中一并委托浙江一海新能源有限公司作无害化处置，因无养殖废水的排放故原设计配套的100m3/d污水处理设施暂缓建设。</w:t>
      </w:r>
    </w:p>
    <w:p>
      <w:pPr>
        <w:pStyle w:val="28"/>
        <w:spacing w:line="360" w:lineRule="auto"/>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采用了干清粪饲养技术和有机肥基料项目变更后，企业在用牛粪便和饲料残渣经好氧发酵罐堆肥发酵过程中产生和排放废气的这一过程也就由于项目的变更而取消了这一污染源的排放，由于企业没有污水排放，故污水生化处理的厌氧发酵过程中的沼气也就没有产生。</w:t>
      </w:r>
    </w:p>
    <w:p>
      <w:pPr>
        <w:bidi w:val="0"/>
        <w:spacing w:line="360" w:lineRule="auto"/>
        <w:rPr>
          <w:rFonts w:hint="eastAsia" w:ascii="宋体" w:hAnsi="宋体" w:eastAsia="宋体" w:cs="宋体"/>
          <w:b/>
          <w:bCs/>
          <w:spacing w:val="19"/>
          <w:sz w:val="24"/>
          <w:szCs w:val="24"/>
        </w:rPr>
      </w:pPr>
      <w:r>
        <w:rPr>
          <w:rFonts w:hint="eastAsia" w:asciiTheme="minorEastAsia" w:hAnsiTheme="minorEastAsia" w:eastAsiaTheme="minorEastAsia" w:cstheme="minorEastAsia"/>
          <w:lang w:val="en-US" w:eastAsia="zh-CN"/>
        </w:rPr>
        <w:t>企业目前在饲养过程中</w:t>
      </w:r>
      <w:r>
        <w:rPr>
          <w:rFonts w:hint="eastAsia" w:asciiTheme="minorEastAsia" w:hAnsiTheme="minorEastAsia" w:eastAsiaTheme="minorEastAsia" w:cstheme="minorEastAsia"/>
        </w:rPr>
        <w:t>各栏舍产生的牛粪尿采用刮粪机收集到每幢栏舍尾端的粪车中，然后送至集粪间暂存，集粪间日产日清，牛粪便、饲料残渣及牛尿及其他养殖废水</w:t>
      </w:r>
      <w:r>
        <w:rPr>
          <w:rFonts w:hint="eastAsia" w:asciiTheme="minorEastAsia" w:hAnsiTheme="minorEastAsia" w:eastAsiaTheme="minorEastAsia" w:cstheme="minorEastAsia"/>
          <w:lang w:val="en-US" w:eastAsia="zh-CN"/>
        </w:rPr>
        <w:t>混入牛粪便和其他饲料残渣、</w:t>
      </w:r>
      <w:r>
        <w:rPr>
          <w:rFonts w:hint="eastAsia" w:asciiTheme="minorEastAsia" w:hAnsiTheme="minorEastAsia" w:eastAsiaTheme="minorEastAsia" w:cstheme="minorEastAsia"/>
        </w:rPr>
        <w:t>杂质收集后</w:t>
      </w:r>
      <w:r>
        <w:rPr>
          <w:rFonts w:hint="eastAsia" w:asciiTheme="minorEastAsia" w:hAnsiTheme="minorEastAsia" w:eastAsiaTheme="minorEastAsia" w:cstheme="minorEastAsia"/>
          <w:b w:val="0"/>
          <w:bCs w:val="0"/>
          <w:color w:val="000000"/>
          <w:kern w:val="0"/>
          <w:sz w:val="24"/>
          <w:szCs w:val="24"/>
          <w:lang w:val="en-US" w:eastAsia="zh-CN" w:bidi="ar"/>
        </w:rPr>
        <w:t>委托浙江一海新能源有限公司进行无害化处理</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lang w:val="en-US" w:eastAsia="zh-CN"/>
        </w:rPr>
        <w:t>生活污水及初期雨水经生化</w:t>
      </w:r>
      <w:r>
        <w:rPr>
          <w:rFonts w:hint="eastAsia" w:asciiTheme="minorEastAsia" w:hAnsiTheme="minorEastAsia" w:eastAsiaTheme="minorEastAsia" w:cstheme="minorEastAsia"/>
        </w:rPr>
        <w:t>处理后废水管道输送至林地灌溉；项目养殖废弃物均进行无害化处理后综合利用。</w:t>
      </w:r>
    </w:p>
    <w:p>
      <w:pPr>
        <w:keepNext w:val="0"/>
        <w:keepLines w:val="0"/>
        <w:widowControl/>
        <w:suppressLineNumbers w:val="0"/>
        <w:ind w:left="0" w:leftChars="0" w:firstLine="0" w:firstLineChars="0"/>
        <w:jc w:val="left"/>
        <w:outlineLvl w:val="1"/>
        <w:rPr>
          <w:sz w:val="28"/>
          <w:szCs w:val="28"/>
        </w:rPr>
      </w:pPr>
      <w:bookmarkStart w:id="87" w:name="_Toc19205"/>
      <w:bookmarkStart w:id="88" w:name="_Toc27552"/>
      <w:r>
        <w:rPr>
          <w:rFonts w:hint="default" w:ascii="Times New Roman" w:hAnsi="Times New Roman" w:eastAsia="宋体" w:cs="Times New Roman"/>
          <w:b/>
          <w:bCs/>
          <w:color w:val="000000"/>
          <w:kern w:val="0"/>
          <w:sz w:val="28"/>
          <w:szCs w:val="28"/>
          <w:lang w:val="en-US" w:eastAsia="zh-CN" w:bidi="ar"/>
        </w:rPr>
        <w:t>3.</w:t>
      </w:r>
      <w:r>
        <w:rPr>
          <w:rFonts w:hint="eastAsia" w:eastAsia="宋体" w:cs="Times New Roman"/>
          <w:b/>
          <w:bCs/>
          <w:color w:val="000000"/>
          <w:kern w:val="0"/>
          <w:sz w:val="28"/>
          <w:szCs w:val="28"/>
          <w:lang w:val="en-US" w:eastAsia="zh-CN" w:bidi="ar"/>
        </w:rPr>
        <w:t>7、</w:t>
      </w:r>
      <w:r>
        <w:rPr>
          <w:rFonts w:hint="eastAsia" w:ascii="宋体" w:hAnsi="宋体" w:eastAsia="宋体" w:cs="宋体"/>
          <w:b/>
          <w:bCs/>
          <w:color w:val="000000"/>
          <w:kern w:val="0"/>
          <w:sz w:val="28"/>
          <w:szCs w:val="28"/>
          <w:lang w:val="en-US" w:eastAsia="zh-CN" w:bidi="ar"/>
        </w:rPr>
        <w:t>肉牛养殖过程中污染因素识别</w:t>
      </w:r>
      <w:bookmarkEnd w:id="87"/>
      <w:bookmarkEnd w:id="88"/>
      <w:r>
        <w:rPr>
          <w:rFonts w:hint="eastAsia" w:ascii="宋体" w:hAnsi="宋体" w:eastAsia="宋体" w:cs="宋体"/>
          <w:b/>
          <w:bCs/>
          <w:color w:val="000000"/>
          <w:kern w:val="0"/>
          <w:sz w:val="28"/>
          <w:szCs w:val="28"/>
          <w:lang w:val="en-US" w:eastAsia="zh-CN" w:bidi="ar"/>
        </w:rPr>
        <w:t xml:space="preserve"> </w:t>
      </w:r>
    </w:p>
    <w:p>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本项目在生产过程中会产生废气、废水、噪声和固废，具体见表 </w:t>
      </w:r>
      <w:r>
        <w:rPr>
          <w:rFonts w:hint="default" w:ascii="Times New Roman" w:hAnsi="Times New Roman" w:eastAsia="宋体" w:cs="Times New Roman"/>
          <w:color w:val="000000"/>
          <w:kern w:val="0"/>
          <w:sz w:val="24"/>
          <w:szCs w:val="24"/>
          <w:lang w:val="en-US" w:eastAsia="zh-CN" w:bidi="ar"/>
        </w:rPr>
        <w:t>3.</w:t>
      </w:r>
      <w:r>
        <w:rPr>
          <w:rFonts w:hint="eastAsia" w:eastAsia="宋体" w:cs="Times New Roman"/>
          <w:color w:val="000000"/>
          <w:kern w:val="0"/>
          <w:sz w:val="24"/>
          <w:szCs w:val="24"/>
          <w:lang w:val="en-US" w:eastAsia="zh-CN" w:bidi="ar"/>
        </w:rPr>
        <w:t>7-1</w:t>
      </w:r>
      <w:r>
        <w:rPr>
          <w:rFonts w:hint="eastAsia" w:ascii="宋体" w:hAnsi="宋体" w:eastAsia="宋体" w:cs="宋体"/>
          <w:color w:val="000000"/>
          <w:kern w:val="0"/>
          <w:sz w:val="24"/>
          <w:szCs w:val="24"/>
          <w:lang w:val="en-US" w:eastAsia="zh-CN" w:bidi="ar"/>
        </w:rPr>
        <w:t>。</w:t>
      </w:r>
    </w:p>
    <w:p>
      <w:pPr>
        <w:pStyle w:val="6"/>
        <w:numPr>
          <w:ilvl w:val="7"/>
          <w:numId w:val="0"/>
        </w:numPr>
        <w:ind w:leftChars="200" w:firstLine="1200" w:firstLineChars="500"/>
        <w:rPr>
          <w:rFonts w:hint="default"/>
          <w:lang w:val="en-US"/>
        </w:rPr>
      </w:pPr>
      <w:r>
        <w:rPr>
          <w:rFonts w:hint="eastAsia" w:ascii="宋体" w:hAnsi="宋体" w:eastAsia="宋体" w:cs="宋体"/>
          <w:color w:val="000000"/>
          <w:kern w:val="0"/>
          <w:sz w:val="24"/>
          <w:szCs w:val="24"/>
          <w:lang w:val="en-US" w:eastAsia="zh-CN" w:bidi="ar"/>
        </w:rPr>
        <w:t>表3.7-1</w:t>
      </w:r>
      <w:r>
        <w:rPr>
          <w:rFonts w:hint="eastAsia" w:ascii="宋体" w:hAnsi="宋体" w:eastAsia="宋体" w:cs="宋体"/>
          <w:b w:val="0"/>
          <w:bCs w:val="0"/>
          <w:color w:val="000000"/>
          <w:kern w:val="0"/>
          <w:sz w:val="24"/>
          <w:szCs w:val="24"/>
          <w:lang w:val="en-US" w:eastAsia="zh-CN" w:bidi="ar"/>
        </w:rPr>
        <w:t>肉牛养殖过程中污染因素识别</w:t>
      </w:r>
    </w:p>
    <w:tbl>
      <w:tblPr>
        <w:tblStyle w:val="24"/>
        <w:tblW w:w="0" w:type="auto"/>
        <w:tblInd w:w="2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7"/>
        <w:gridCol w:w="705"/>
        <w:gridCol w:w="765"/>
        <w:gridCol w:w="1350"/>
        <w:gridCol w:w="1665"/>
        <w:gridCol w:w="29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类别</w:t>
            </w: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序号</w:t>
            </w:r>
          </w:p>
        </w:tc>
        <w:tc>
          <w:tcPr>
            <w:tcW w:w="2115" w:type="dxa"/>
            <w:gridSpan w:val="2"/>
            <w:vAlign w:val="center"/>
          </w:tcPr>
          <w:p>
            <w:pPr>
              <w:pStyle w:val="7"/>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污染源/工序</w:t>
            </w:r>
          </w:p>
          <w:p>
            <w:pPr>
              <w:pStyle w:val="7"/>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（环评设计）</w:t>
            </w:r>
          </w:p>
        </w:tc>
        <w:tc>
          <w:tcPr>
            <w:tcW w:w="1665" w:type="dxa"/>
            <w:vAlign w:val="center"/>
          </w:tcPr>
          <w:p>
            <w:pPr>
              <w:pStyle w:val="7"/>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污染源/工序</w:t>
            </w:r>
          </w:p>
          <w:p>
            <w:pPr>
              <w:pStyle w:val="7"/>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（一期建设）</w:t>
            </w:r>
          </w:p>
        </w:tc>
        <w:tc>
          <w:tcPr>
            <w:tcW w:w="2903"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主要污染因子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restart"/>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废气</w:t>
            </w: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G1</w:t>
            </w:r>
          </w:p>
        </w:tc>
        <w:tc>
          <w:tcPr>
            <w:tcW w:w="2115" w:type="dxa"/>
            <w:gridSpan w:val="2"/>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饲料加工粉尘</w:t>
            </w:r>
          </w:p>
        </w:tc>
        <w:tc>
          <w:tcPr>
            <w:tcW w:w="1665"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饲料加工粉尘</w:t>
            </w:r>
          </w:p>
        </w:tc>
        <w:tc>
          <w:tcPr>
            <w:tcW w:w="2903" w:type="dxa"/>
            <w:vAlign w:val="center"/>
          </w:tcPr>
          <w:p>
            <w:pPr>
              <w:pStyle w:val="7"/>
              <w:ind w:firstLine="420" w:firstLineChars="20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G2</w:t>
            </w:r>
          </w:p>
        </w:tc>
        <w:tc>
          <w:tcPr>
            <w:tcW w:w="2115" w:type="dxa"/>
            <w:gridSpan w:val="2"/>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栏舍恶臭</w:t>
            </w:r>
          </w:p>
        </w:tc>
        <w:tc>
          <w:tcPr>
            <w:tcW w:w="1665" w:type="dxa"/>
            <w:vAlign w:val="center"/>
          </w:tcPr>
          <w:p>
            <w:pPr>
              <w:pStyle w:val="7"/>
              <w:ind w:firstLine="420" w:firstLineChars="2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栏舍恶臭</w:t>
            </w:r>
          </w:p>
        </w:tc>
        <w:tc>
          <w:tcPr>
            <w:tcW w:w="2903" w:type="dxa"/>
            <w:vAlign w:val="center"/>
          </w:tcPr>
          <w:p>
            <w:pPr>
              <w:pStyle w:val="7"/>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氨、硫化氢、臭气浓度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G3</w:t>
            </w:r>
          </w:p>
        </w:tc>
        <w:tc>
          <w:tcPr>
            <w:tcW w:w="2115" w:type="dxa"/>
            <w:gridSpan w:val="2"/>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堆粪场恶臭</w:t>
            </w:r>
          </w:p>
        </w:tc>
        <w:tc>
          <w:tcPr>
            <w:tcW w:w="1665" w:type="dxa"/>
            <w:vAlign w:val="center"/>
          </w:tcPr>
          <w:p>
            <w:pPr>
              <w:ind w:firstLine="420" w:firstLineChars="20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c>
          <w:tcPr>
            <w:tcW w:w="2903" w:type="dxa"/>
            <w:vAlign w:val="center"/>
          </w:tcPr>
          <w:p>
            <w:pPr>
              <w:ind w:firstLine="420" w:firstLineChars="20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氨、硫化氢、臭气浓度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G4</w:t>
            </w:r>
          </w:p>
        </w:tc>
        <w:tc>
          <w:tcPr>
            <w:tcW w:w="2115" w:type="dxa"/>
            <w:gridSpan w:val="2"/>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好氧发酵恶臭</w:t>
            </w:r>
          </w:p>
        </w:tc>
        <w:tc>
          <w:tcPr>
            <w:tcW w:w="1665" w:type="dxa"/>
            <w:vAlign w:val="center"/>
          </w:tcPr>
          <w:p>
            <w:pPr>
              <w:ind w:firstLine="420" w:firstLineChars="20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c>
          <w:tcPr>
            <w:tcW w:w="2903" w:type="dxa"/>
            <w:vAlign w:val="center"/>
          </w:tcPr>
          <w:p>
            <w:pPr>
              <w:ind w:firstLine="420" w:firstLineChars="200"/>
              <w:jc w:val="center"/>
              <w:rPr>
                <w:rFonts w:hint="default"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氨、硫化氢、臭气浓度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G5</w:t>
            </w:r>
          </w:p>
        </w:tc>
        <w:tc>
          <w:tcPr>
            <w:tcW w:w="2115" w:type="dxa"/>
            <w:gridSpan w:val="2"/>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污水处理站恶臭</w:t>
            </w:r>
          </w:p>
        </w:tc>
        <w:tc>
          <w:tcPr>
            <w:tcW w:w="1665"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c>
          <w:tcPr>
            <w:tcW w:w="2903" w:type="dxa"/>
            <w:vAlign w:val="center"/>
          </w:tcPr>
          <w:p>
            <w:pPr>
              <w:pStyle w:val="7"/>
              <w:ind w:firstLine="420" w:firstLineChars="200"/>
              <w:jc w:val="center"/>
              <w:rPr>
                <w:rFonts w:hint="default"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氨、硫化氢、臭气浓度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G6</w:t>
            </w:r>
          </w:p>
        </w:tc>
        <w:tc>
          <w:tcPr>
            <w:tcW w:w="2115" w:type="dxa"/>
            <w:gridSpan w:val="2"/>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沼气燃烧</w:t>
            </w:r>
          </w:p>
        </w:tc>
        <w:tc>
          <w:tcPr>
            <w:tcW w:w="1665"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c>
          <w:tcPr>
            <w:tcW w:w="2903" w:type="dxa"/>
            <w:vAlign w:val="center"/>
          </w:tcPr>
          <w:p>
            <w:pPr>
              <w:pStyle w:val="7"/>
              <w:ind w:firstLine="420" w:firstLineChars="200"/>
              <w:jc w:val="center"/>
              <w:rPr>
                <w:rFonts w:hint="default"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氮氧化物、二氧化硫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G7</w:t>
            </w:r>
          </w:p>
        </w:tc>
        <w:tc>
          <w:tcPr>
            <w:tcW w:w="2115" w:type="dxa"/>
            <w:gridSpan w:val="2"/>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食堂</w:t>
            </w:r>
          </w:p>
        </w:tc>
        <w:tc>
          <w:tcPr>
            <w:tcW w:w="1665"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c>
          <w:tcPr>
            <w:tcW w:w="2903"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食堂油烟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restart"/>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废水</w:t>
            </w: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W1</w:t>
            </w:r>
          </w:p>
        </w:tc>
        <w:tc>
          <w:tcPr>
            <w:tcW w:w="765" w:type="dxa"/>
            <w:vMerge w:val="restart"/>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养殖</w:t>
            </w:r>
          </w:p>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废水</w:t>
            </w:r>
          </w:p>
        </w:tc>
        <w:tc>
          <w:tcPr>
            <w:tcW w:w="1350"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牛尿粪</w:t>
            </w:r>
          </w:p>
        </w:tc>
        <w:tc>
          <w:tcPr>
            <w:tcW w:w="166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牛尿粪</w:t>
            </w:r>
          </w:p>
        </w:tc>
        <w:tc>
          <w:tcPr>
            <w:tcW w:w="2903"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pH、CODcr、氨氮、SS、TP、TN、BOD</w:t>
            </w:r>
            <w:r>
              <w:rPr>
                <w:rFonts w:hint="eastAsia" w:asciiTheme="minorEastAsia" w:hAnsiTheme="minorEastAsia" w:eastAsiaTheme="minorEastAsia" w:cstheme="minorEastAsia"/>
                <w:sz w:val="21"/>
                <w:szCs w:val="21"/>
                <w:vertAlign w:val="subscript"/>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p>
        </w:tc>
        <w:tc>
          <w:tcPr>
            <w:tcW w:w="765" w:type="dxa"/>
            <w:vMerge w:val="continue"/>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p>
        </w:tc>
        <w:tc>
          <w:tcPr>
            <w:tcW w:w="1350" w:type="dxa"/>
            <w:vAlign w:val="center"/>
          </w:tcPr>
          <w:p>
            <w:pPr>
              <w:pStyle w:val="7"/>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栏舍冲洗废水</w:t>
            </w:r>
          </w:p>
        </w:tc>
        <w:tc>
          <w:tcPr>
            <w:tcW w:w="1665"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栏舍冲洗废水</w:t>
            </w:r>
          </w:p>
        </w:tc>
        <w:tc>
          <w:tcPr>
            <w:tcW w:w="2903" w:type="dxa"/>
            <w:vAlign w:val="center"/>
          </w:tcPr>
          <w:p>
            <w:p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pH、CODcr、氨氮、SS、TP、TN、BOD</w:t>
            </w:r>
            <w:r>
              <w:rPr>
                <w:rFonts w:hint="eastAsia" w:asciiTheme="minorEastAsia" w:hAnsiTheme="minorEastAsia" w:eastAsiaTheme="minorEastAsia" w:cstheme="minorEastAsia"/>
                <w:sz w:val="21"/>
                <w:szCs w:val="21"/>
                <w:vertAlign w:val="subscript"/>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W3</w:t>
            </w:r>
          </w:p>
        </w:tc>
        <w:tc>
          <w:tcPr>
            <w:tcW w:w="765"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13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饮水系统撒漏水</w:t>
            </w:r>
          </w:p>
        </w:tc>
        <w:tc>
          <w:tcPr>
            <w:tcW w:w="1665" w:type="dxa"/>
            <w:vAlign w:val="center"/>
          </w:tcPr>
          <w:p>
            <w:p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饮水系统撒漏水</w:t>
            </w:r>
          </w:p>
        </w:tc>
        <w:tc>
          <w:tcPr>
            <w:tcW w:w="2903" w:type="dxa"/>
            <w:vAlign w:val="center"/>
          </w:tcPr>
          <w:p>
            <w:p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pH、CODcr、氨氮、SS、TP、TN、BOD</w:t>
            </w:r>
            <w:r>
              <w:rPr>
                <w:rFonts w:hint="eastAsia" w:asciiTheme="minorEastAsia" w:hAnsiTheme="minorEastAsia" w:eastAsiaTheme="minorEastAsia" w:cstheme="minorEastAsia"/>
                <w:sz w:val="21"/>
                <w:szCs w:val="21"/>
                <w:vertAlign w:val="subscript"/>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W4</w:t>
            </w:r>
          </w:p>
        </w:tc>
        <w:tc>
          <w:tcPr>
            <w:tcW w:w="765"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13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废气处理喷淋水</w:t>
            </w:r>
          </w:p>
        </w:tc>
        <w:tc>
          <w:tcPr>
            <w:tcW w:w="1665" w:type="dxa"/>
            <w:vAlign w:val="center"/>
          </w:tcPr>
          <w:p>
            <w:pPr>
              <w:ind w:left="0" w:leftChars="0" w:firstLine="0" w:firstLineChars="0"/>
              <w:jc w:val="center"/>
              <w:rPr>
                <w:rFonts w:hint="default"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kern w:val="2"/>
                <w:sz w:val="21"/>
                <w:szCs w:val="21"/>
                <w:vertAlign w:val="baseline"/>
                <w:lang w:val="en-US" w:eastAsia="zh-CN" w:bidi="ar-SA"/>
              </w:rPr>
              <w:t>/</w:t>
            </w:r>
          </w:p>
        </w:tc>
        <w:tc>
          <w:tcPr>
            <w:tcW w:w="2903" w:type="dxa"/>
            <w:vAlign w:val="center"/>
          </w:tcPr>
          <w:p>
            <w:pPr>
              <w:ind w:left="0" w:leftChars="0" w:firstLine="0" w:firstLineChars="0"/>
              <w:jc w:val="center"/>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pH、CODcr、氨氮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W5</w:t>
            </w:r>
          </w:p>
        </w:tc>
        <w:tc>
          <w:tcPr>
            <w:tcW w:w="2115" w:type="dxa"/>
            <w:gridSpan w:val="2"/>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初期雨水</w:t>
            </w:r>
          </w:p>
        </w:tc>
        <w:tc>
          <w:tcPr>
            <w:tcW w:w="1665"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初期雨水</w:t>
            </w:r>
          </w:p>
        </w:tc>
        <w:tc>
          <w:tcPr>
            <w:tcW w:w="2903"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pH、CODcr、SS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W6</w:t>
            </w:r>
          </w:p>
        </w:tc>
        <w:tc>
          <w:tcPr>
            <w:tcW w:w="2115" w:type="dxa"/>
            <w:gridSpan w:val="2"/>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生活污水</w:t>
            </w:r>
          </w:p>
        </w:tc>
        <w:tc>
          <w:tcPr>
            <w:tcW w:w="1665"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生活污水</w:t>
            </w:r>
          </w:p>
        </w:tc>
        <w:tc>
          <w:tcPr>
            <w:tcW w:w="2903"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pH、CODcr、氨氮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噪声</w:t>
            </w: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N</w:t>
            </w:r>
          </w:p>
        </w:tc>
        <w:tc>
          <w:tcPr>
            <w:tcW w:w="2115" w:type="dxa"/>
            <w:gridSpan w:val="2"/>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噪声</w:t>
            </w:r>
          </w:p>
        </w:tc>
        <w:tc>
          <w:tcPr>
            <w:tcW w:w="1665"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噪声</w:t>
            </w:r>
          </w:p>
        </w:tc>
        <w:tc>
          <w:tcPr>
            <w:tcW w:w="2903"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等效声级dB(A)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restart"/>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固废</w:t>
            </w: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S1</w:t>
            </w:r>
          </w:p>
        </w:tc>
        <w:tc>
          <w:tcPr>
            <w:tcW w:w="765" w:type="dxa"/>
            <w:vMerge w:val="restart"/>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一般</w:t>
            </w:r>
          </w:p>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固废</w:t>
            </w:r>
          </w:p>
        </w:tc>
        <w:tc>
          <w:tcPr>
            <w:tcW w:w="1350"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原料包装</w:t>
            </w:r>
          </w:p>
        </w:tc>
        <w:tc>
          <w:tcPr>
            <w:tcW w:w="1665"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原料包装</w:t>
            </w:r>
          </w:p>
        </w:tc>
        <w:tc>
          <w:tcPr>
            <w:tcW w:w="2903"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一般包装材料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S2</w:t>
            </w:r>
          </w:p>
        </w:tc>
        <w:tc>
          <w:tcPr>
            <w:tcW w:w="765"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1350" w:type="dxa"/>
            <w:vAlign w:val="center"/>
          </w:tcPr>
          <w:p>
            <w:pPr>
              <w:pStyle w:val="7"/>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青储</w:t>
            </w:r>
          </w:p>
        </w:tc>
        <w:tc>
          <w:tcPr>
            <w:tcW w:w="1665"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青储</w:t>
            </w:r>
          </w:p>
        </w:tc>
        <w:tc>
          <w:tcPr>
            <w:tcW w:w="2903"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废塑料膜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S3</w:t>
            </w:r>
          </w:p>
        </w:tc>
        <w:tc>
          <w:tcPr>
            <w:tcW w:w="765"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1350"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沼气脱硫</w:t>
            </w:r>
          </w:p>
        </w:tc>
        <w:tc>
          <w:tcPr>
            <w:tcW w:w="1665"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c>
          <w:tcPr>
            <w:tcW w:w="2903"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废脱硫剂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S4</w:t>
            </w:r>
          </w:p>
        </w:tc>
        <w:tc>
          <w:tcPr>
            <w:tcW w:w="765"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1350"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肉牛养殖</w:t>
            </w:r>
          </w:p>
        </w:tc>
        <w:tc>
          <w:tcPr>
            <w:tcW w:w="1665" w:type="dxa"/>
            <w:vAlign w:val="center"/>
          </w:tcPr>
          <w:p>
            <w:pPr>
              <w:pStyle w:val="7"/>
              <w:ind w:left="0" w:leftChars="0" w:firstLine="210" w:firstLineChars="100"/>
              <w:jc w:val="both"/>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肉牛养殖</w:t>
            </w:r>
          </w:p>
        </w:tc>
        <w:tc>
          <w:tcPr>
            <w:tcW w:w="2903"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牛粪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S5</w:t>
            </w:r>
          </w:p>
        </w:tc>
        <w:tc>
          <w:tcPr>
            <w:tcW w:w="765"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1350"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废水处理</w:t>
            </w:r>
          </w:p>
        </w:tc>
        <w:tc>
          <w:tcPr>
            <w:tcW w:w="1665"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c>
          <w:tcPr>
            <w:tcW w:w="2903"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粪渣/沼渣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S6</w:t>
            </w:r>
          </w:p>
        </w:tc>
        <w:tc>
          <w:tcPr>
            <w:tcW w:w="765"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1350"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饲料加工及喂食</w:t>
            </w:r>
          </w:p>
        </w:tc>
        <w:tc>
          <w:tcPr>
            <w:tcW w:w="1665"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饲料加工及喂食</w:t>
            </w:r>
          </w:p>
        </w:tc>
        <w:tc>
          <w:tcPr>
            <w:tcW w:w="2903"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饲料残渣及杂质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S7</w:t>
            </w:r>
          </w:p>
        </w:tc>
        <w:tc>
          <w:tcPr>
            <w:tcW w:w="765"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1350"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废水处理</w:t>
            </w:r>
          </w:p>
        </w:tc>
        <w:tc>
          <w:tcPr>
            <w:tcW w:w="1665"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c>
          <w:tcPr>
            <w:tcW w:w="2903"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废水处理污泥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S8</w:t>
            </w:r>
          </w:p>
        </w:tc>
        <w:tc>
          <w:tcPr>
            <w:tcW w:w="2115" w:type="dxa"/>
            <w:gridSpan w:val="2"/>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按农业部门要求处置</w:t>
            </w:r>
          </w:p>
        </w:tc>
        <w:tc>
          <w:tcPr>
            <w:tcW w:w="1665"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按农业部门要求处置</w:t>
            </w:r>
          </w:p>
        </w:tc>
        <w:tc>
          <w:tcPr>
            <w:tcW w:w="2903"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病死牛尸体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S9</w:t>
            </w:r>
          </w:p>
        </w:tc>
        <w:tc>
          <w:tcPr>
            <w:tcW w:w="765" w:type="dxa"/>
            <w:vMerge w:val="restart"/>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危险</w:t>
            </w:r>
          </w:p>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废物</w:t>
            </w:r>
          </w:p>
        </w:tc>
        <w:tc>
          <w:tcPr>
            <w:tcW w:w="1350"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养殖过程</w:t>
            </w:r>
          </w:p>
        </w:tc>
        <w:tc>
          <w:tcPr>
            <w:tcW w:w="1665" w:type="dxa"/>
            <w:vAlign w:val="center"/>
          </w:tcPr>
          <w:p>
            <w:pPr>
              <w:pStyle w:val="7"/>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养殖过程</w:t>
            </w:r>
          </w:p>
        </w:tc>
        <w:tc>
          <w:tcPr>
            <w:tcW w:w="2903"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医疗废物（HW01 841-005-01）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S10</w:t>
            </w:r>
          </w:p>
        </w:tc>
        <w:tc>
          <w:tcPr>
            <w:tcW w:w="765"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1350"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设备维护</w:t>
            </w:r>
          </w:p>
        </w:tc>
        <w:tc>
          <w:tcPr>
            <w:tcW w:w="1665" w:type="dxa"/>
            <w:vAlign w:val="center"/>
          </w:tcPr>
          <w:p>
            <w:pPr>
              <w:pStyle w:val="7"/>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设备维护</w:t>
            </w:r>
          </w:p>
        </w:tc>
        <w:tc>
          <w:tcPr>
            <w:tcW w:w="2903"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废机油(HW08 900-249-08)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S11</w:t>
            </w:r>
          </w:p>
        </w:tc>
        <w:tc>
          <w:tcPr>
            <w:tcW w:w="765"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1350"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设备清洁</w:t>
            </w:r>
          </w:p>
        </w:tc>
        <w:tc>
          <w:tcPr>
            <w:tcW w:w="1665" w:type="dxa"/>
            <w:vAlign w:val="center"/>
          </w:tcPr>
          <w:p>
            <w:pPr>
              <w:pStyle w:val="7"/>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设备清洁</w:t>
            </w:r>
          </w:p>
        </w:tc>
        <w:tc>
          <w:tcPr>
            <w:tcW w:w="2903" w:type="dxa"/>
            <w:vAlign w:val="center"/>
          </w:tcPr>
          <w:p>
            <w:pPr>
              <w:pStyle w:val="7"/>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含油抹布(HW49 900-041-49)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7"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70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S12</w:t>
            </w:r>
          </w:p>
        </w:tc>
        <w:tc>
          <w:tcPr>
            <w:tcW w:w="2115" w:type="dxa"/>
            <w:gridSpan w:val="2"/>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生活垃圾</w:t>
            </w:r>
          </w:p>
        </w:tc>
        <w:tc>
          <w:tcPr>
            <w:tcW w:w="1665" w:type="dxa"/>
            <w:vAlign w:val="center"/>
          </w:tcPr>
          <w:p>
            <w:pPr>
              <w:pStyle w:val="7"/>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生活垃圾</w:t>
            </w:r>
          </w:p>
        </w:tc>
        <w:tc>
          <w:tcPr>
            <w:tcW w:w="2903"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生活废弃物</w:t>
            </w:r>
          </w:p>
        </w:tc>
      </w:tr>
    </w:tbl>
    <w:p>
      <w:pPr>
        <w:keepNext w:val="0"/>
        <w:keepLines w:val="0"/>
        <w:widowControl/>
        <w:suppressLineNumbers w:val="0"/>
        <w:ind w:left="0" w:leftChars="0" w:firstLine="0" w:firstLineChars="0"/>
        <w:jc w:val="left"/>
        <w:rPr>
          <w:rFonts w:hint="default" w:ascii="Times New Roman" w:hAnsi="Times New Roman" w:eastAsia="宋体" w:cs="Times New Roman"/>
          <w:b/>
          <w:bCs/>
          <w:color w:val="000000"/>
          <w:kern w:val="0"/>
          <w:sz w:val="24"/>
          <w:szCs w:val="24"/>
          <w:lang w:val="en-US" w:eastAsia="zh-CN" w:bidi="ar"/>
        </w:rPr>
      </w:pPr>
    </w:p>
    <w:p>
      <w:pPr>
        <w:pStyle w:val="7"/>
        <w:ind w:left="0" w:leftChars="0" w:firstLine="0" w:firstLineChars="0"/>
        <w:outlineLvl w:val="1"/>
        <w:rPr>
          <w:rFonts w:hint="eastAsia" w:asciiTheme="minorEastAsia" w:hAnsiTheme="minorEastAsia" w:eastAsiaTheme="minorEastAsia" w:cstheme="minorEastAsia"/>
          <w:b/>
          <w:bCs/>
          <w:sz w:val="28"/>
          <w:szCs w:val="28"/>
          <w:lang w:val="en-US" w:eastAsia="zh-CN"/>
        </w:rPr>
      </w:pPr>
      <w:bookmarkStart w:id="89" w:name="_Toc26519"/>
      <w:bookmarkStart w:id="90" w:name="_Toc14850"/>
      <w:r>
        <w:rPr>
          <w:rFonts w:hint="eastAsia" w:asciiTheme="minorEastAsia" w:hAnsiTheme="minorEastAsia" w:eastAsiaTheme="minorEastAsia" w:cstheme="minorEastAsia"/>
          <w:b/>
          <w:bCs/>
          <w:sz w:val="28"/>
          <w:szCs w:val="28"/>
          <w:lang w:val="en-US" w:eastAsia="zh-CN"/>
        </w:rPr>
        <w:t>3.8、主要污染源及治理措施环节保护设施</w:t>
      </w:r>
      <w:bookmarkEnd w:id="89"/>
      <w:bookmarkEnd w:id="90"/>
    </w:p>
    <w:p>
      <w:pPr>
        <w:pStyle w:val="7"/>
        <w:ind w:left="0" w:leftChars="0" w:firstLine="0" w:firstLineChars="0"/>
        <w:rPr>
          <w:rFonts w:hint="eastAsia" w:asciiTheme="minorEastAsia" w:hAnsiTheme="minorEastAsia" w:eastAsiaTheme="minorEastAsia" w:cstheme="minorEastAsia"/>
          <w:lang w:val="en-US" w:eastAsia="zh-CN"/>
        </w:rPr>
      </w:pPr>
      <w:r>
        <w:rPr>
          <w:rFonts w:hint="eastAsia" w:ascii="宋体" w:hAnsi="宋体" w:eastAsia="宋体" w:cs="宋体"/>
          <w:lang w:val="en-US" w:eastAsia="zh-CN"/>
        </w:rPr>
        <w:t>⑴</w:t>
      </w:r>
      <w:r>
        <w:rPr>
          <w:rFonts w:hint="eastAsia" w:asciiTheme="minorEastAsia" w:hAnsiTheme="minorEastAsia" w:eastAsiaTheme="minorEastAsia" w:cstheme="minorEastAsia"/>
          <w:lang w:val="en-US" w:eastAsia="zh-CN"/>
        </w:rPr>
        <w:t xml:space="preserve"> 污染治理设施</w:t>
      </w:r>
    </w:p>
    <w:p>
      <w:pPr>
        <w:pStyle w:val="7"/>
        <w:rPr>
          <w:rFonts w:hint="eastAsia" w:asciiTheme="minorEastAsia" w:hAnsiTheme="minorEastAsia" w:eastAsiaTheme="minorEastAsia" w:cstheme="minorEastAsia"/>
          <w:lang w:val="en-US" w:eastAsia="zh-CN"/>
        </w:rPr>
      </w:pPr>
      <w:r>
        <w:rPr>
          <w:rFonts w:hint="eastAsia" w:ascii="宋体" w:hAnsi="宋体" w:eastAsia="宋体" w:cs="宋体"/>
          <w:lang w:val="en-US" w:eastAsia="zh-CN"/>
        </w:rPr>
        <w:t xml:space="preserve">① </w:t>
      </w:r>
      <w:r>
        <w:rPr>
          <w:rFonts w:hint="eastAsia" w:asciiTheme="minorEastAsia" w:hAnsiTheme="minorEastAsia" w:eastAsiaTheme="minorEastAsia" w:cstheme="minorEastAsia"/>
          <w:lang w:val="en-US" w:eastAsia="zh-CN"/>
        </w:rPr>
        <w:t>废气</w:t>
      </w:r>
    </w:p>
    <w:p>
      <w:pPr>
        <w:pStyle w:val="7"/>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lang w:val="en-US" w:eastAsia="zh-CN"/>
        </w:rPr>
        <w:t>本项目运行期间产生的废气主要来自牛舍产生的恶臭、</w:t>
      </w:r>
      <w:r>
        <w:rPr>
          <w:rFonts w:hint="eastAsia" w:asciiTheme="minorEastAsia" w:hAnsiTheme="minorEastAsia" w:eastAsiaTheme="minorEastAsia" w:cstheme="minorEastAsia"/>
          <w:vertAlign w:val="baseline"/>
          <w:lang w:val="en-US" w:eastAsia="zh-CN"/>
        </w:rPr>
        <w:t>堆粪场恶臭和饲料加工粉尘产生的颗粒物。本项目主要生产环节及治理措施见下表：</w:t>
      </w:r>
    </w:p>
    <w:p>
      <w:pPr>
        <w:pStyle w:val="7"/>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表3.8-1   废气产生环节及治理措施</w:t>
      </w:r>
    </w:p>
    <w:tbl>
      <w:tblPr>
        <w:tblStyle w:val="24"/>
        <w:tblW w:w="0" w:type="auto"/>
        <w:tblInd w:w="1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0"/>
        <w:gridCol w:w="1372"/>
        <w:gridCol w:w="4335"/>
        <w:gridCol w:w="14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污染源</w:t>
            </w:r>
          </w:p>
        </w:tc>
        <w:tc>
          <w:tcPr>
            <w:tcW w:w="1372"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污染物</w:t>
            </w:r>
          </w:p>
        </w:tc>
        <w:tc>
          <w:tcPr>
            <w:tcW w:w="4335" w:type="dxa"/>
            <w:vAlign w:val="center"/>
          </w:tcPr>
          <w:p>
            <w:pPr>
              <w:pStyle w:val="7"/>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防治措施</w:t>
            </w:r>
          </w:p>
        </w:tc>
        <w:tc>
          <w:tcPr>
            <w:tcW w:w="1433"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排放方式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牛栏舍</w:t>
            </w:r>
          </w:p>
        </w:tc>
        <w:tc>
          <w:tcPr>
            <w:tcW w:w="1372" w:type="dxa"/>
            <w:vMerge w:val="restart"/>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恶臭（NH</w:t>
            </w:r>
            <w:r>
              <w:rPr>
                <w:rFonts w:hint="eastAsia" w:asciiTheme="minorEastAsia" w:hAnsiTheme="minorEastAsia" w:eastAsiaTheme="minorEastAsia" w:cstheme="minorEastAsia"/>
                <w:sz w:val="21"/>
                <w:szCs w:val="21"/>
                <w:vertAlign w:val="subscript"/>
                <w:lang w:val="en-US" w:eastAsia="zh-CN"/>
              </w:rPr>
              <w:t>3</w:t>
            </w:r>
            <w:r>
              <w:rPr>
                <w:rFonts w:hint="eastAsia" w:asciiTheme="minorEastAsia" w:hAnsiTheme="minorEastAsia" w:eastAsiaTheme="minorEastAsia" w:cstheme="minorEastAsia"/>
                <w:sz w:val="21"/>
                <w:szCs w:val="21"/>
                <w:vertAlign w:val="baseline"/>
                <w:lang w:val="en-US" w:eastAsia="zh-CN"/>
              </w:rPr>
              <w:t>、H</w:t>
            </w:r>
            <w:r>
              <w:rPr>
                <w:rFonts w:hint="eastAsia" w:asciiTheme="minorEastAsia" w:hAnsiTheme="minorEastAsia" w:eastAsiaTheme="minorEastAsia" w:cstheme="minorEastAsia"/>
                <w:sz w:val="21"/>
                <w:szCs w:val="21"/>
                <w:vertAlign w:val="subscript"/>
                <w:lang w:val="en-US" w:eastAsia="zh-CN"/>
              </w:rPr>
              <w:t>2</w:t>
            </w:r>
            <w:r>
              <w:rPr>
                <w:rFonts w:hint="eastAsia" w:asciiTheme="minorEastAsia" w:hAnsiTheme="minorEastAsia" w:eastAsiaTheme="minorEastAsia" w:cstheme="minorEastAsia"/>
                <w:sz w:val="21"/>
                <w:szCs w:val="21"/>
                <w:vertAlign w:val="baseline"/>
                <w:lang w:val="en-US" w:eastAsia="zh-CN"/>
              </w:rPr>
              <w:t>S）</w:t>
            </w:r>
          </w:p>
        </w:tc>
        <w:tc>
          <w:tcPr>
            <w:tcW w:w="4335"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控制饲养密度，加强栏舍通风，及时清粪，喷洒生物除臭剂，加强厂区绿化措施</w:t>
            </w:r>
          </w:p>
        </w:tc>
        <w:tc>
          <w:tcPr>
            <w:tcW w:w="1433" w:type="dxa"/>
            <w:vMerge w:val="restart"/>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无组织</w:t>
            </w:r>
          </w:p>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dxa"/>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color w:val="000000"/>
                <w:kern w:val="0"/>
                <w:sz w:val="21"/>
                <w:szCs w:val="21"/>
                <w:lang w:val="en-US" w:eastAsia="zh-CN" w:bidi="ar"/>
              </w:rPr>
              <w:t>集粪间</w:t>
            </w:r>
          </w:p>
        </w:tc>
        <w:tc>
          <w:tcPr>
            <w:tcW w:w="1372"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c>
          <w:tcPr>
            <w:tcW w:w="433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color w:val="000000"/>
                <w:kern w:val="0"/>
                <w:sz w:val="21"/>
                <w:szCs w:val="21"/>
                <w:lang w:val="en-US" w:eastAsia="zh-CN" w:bidi="ar"/>
              </w:rPr>
              <w:t>集粪间臭气经塑料薄膜遮盖+每天喷雾一次 500 倍稀释的除臭剂，加强通风， 加强绿化。</w:t>
            </w:r>
          </w:p>
        </w:tc>
        <w:tc>
          <w:tcPr>
            <w:tcW w:w="1433" w:type="dxa"/>
            <w:vMerge w:val="continue"/>
            <w:vAlign w:val="center"/>
          </w:tcPr>
          <w:p>
            <w:pPr>
              <w:pStyle w:val="7"/>
              <w:jc w:val="center"/>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02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饲料加工</w:t>
            </w:r>
          </w:p>
        </w:tc>
        <w:tc>
          <w:tcPr>
            <w:tcW w:w="1372" w:type="dxa"/>
            <w:vAlign w:val="center"/>
          </w:tcPr>
          <w:p>
            <w:pPr>
              <w:pStyle w:val="7"/>
              <w:spacing w:line="240" w:lineRule="auto"/>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粉尘</w:t>
            </w:r>
          </w:p>
        </w:tc>
        <w:tc>
          <w:tcPr>
            <w:tcW w:w="433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上方集气罩＋整体集气＋布袋除尘处理后通过 15m 排气筒排放</w:t>
            </w:r>
          </w:p>
        </w:tc>
        <w:tc>
          <w:tcPr>
            <w:tcW w:w="1433" w:type="dxa"/>
            <w:vAlign w:val="center"/>
          </w:tcPr>
          <w:p>
            <w:pPr>
              <w:pStyle w:val="7"/>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有组织排放</w:t>
            </w:r>
          </w:p>
        </w:tc>
      </w:tr>
    </w:tbl>
    <w:p>
      <w:pPr>
        <w:pStyle w:val="7"/>
        <w:ind w:left="0" w:leftChars="0" w:firstLine="0" w:firstLineChars="0"/>
        <w:rPr>
          <w:rFonts w:hint="eastAsia" w:ascii="宋体" w:hAnsi="宋体" w:eastAsia="宋体" w:cs="宋体"/>
          <w:b w:val="0"/>
          <w:bCs w:val="0"/>
          <w:color w:val="000000"/>
          <w:kern w:val="0"/>
          <w:sz w:val="24"/>
          <w:szCs w:val="24"/>
          <w:lang w:val="en-US" w:eastAsia="zh-CN" w:bidi="ar"/>
        </w:rPr>
      </w:pPr>
    </w:p>
    <w:p>
      <w:pPr>
        <w:pStyle w:val="7"/>
        <w:ind w:left="0" w:leftChars="0" w:firstLine="240" w:firstLineChars="100"/>
        <w:rPr>
          <w:rFonts w:hint="eastAsia" w:ascii="Times New Roman" w:hAnsi="Times New Roman" w:eastAsia="宋体" w:cs="Times New Roman"/>
          <w:b w:val="0"/>
          <w:bCs w:val="0"/>
          <w:color w:val="000000"/>
          <w:kern w:val="0"/>
          <w:sz w:val="24"/>
          <w:szCs w:val="24"/>
          <w:lang w:val="en-US" w:eastAsia="zh-CN" w:bidi="ar"/>
        </w:rPr>
      </w:pPr>
      <w:r>
        <w:rPr>
          <w:rFonts w:hint="eastAsia" w:ascii="宋体" w:hAnsi="宋体" w:eastAsia="宋体" w:cs="宋体"/>
          <w:b w:val="0"/>
          <w:bCs w:val="0"/>
          <w:color w:val="000000"/>
          <w:kern w:val="0"/>
          <w:sz w:val="24"/>
          <w:szCs w:val="24"/>
          <w:lang w:val="en-US" w:eastAsia="zh-CN" w:bidi="ar"/>
        </w:rPr>
        <w:t xml:space="preserve">② </w:t>
      </w:r>
      <w:r>
        <w:rPr>
          <w:rFonts w:hint="eastAsia" w:ascii="Times New Roman" w:hAnsi="Times New Roman" w:eastAsia="宋体" w:cs="Times New Roman"/>
          <w:b w:val="0"/>
          <w:bCs w:val="0"/>
          <w:color w:val="000000"/>
          <w:kern w:val="0"/>
          <w:sz w:val="24"/>
          <w:szCs w:val="24"/>
          <w:lang w:val="en-US" w:eastAsia="zh-CN" w:bidi="ar"/>
        </w:rPr>
        <w:t>废水</w:t>
      </w:r>
    </w:p>
    <w:p>
      <w:pPr>
        <w:pStyle w:val="7"/>
        <w:rPr>
          <w:rFonts w:hint="eastAsia" w:asciiTheme="minorEastAsia" w:hAnsiTheme="minorEastAsia" w:eastAsiaTheme="minorEastAsia" w:cstheme="minorEastAsia"/>
          <w:sz w:val="24"/>
          <w:szCs w:val="24"/>
          <w:lang w:val="en-US" w:eastAsia="zh-CN"/>
        </w:rPr>
      </w:pPr>
      <w:r>
        <w:rPr>
          <w:rFonts w:hint="eastAsia" w:ascii="宋体" w:hAnsi="宋体" w:eastAsia="宋体" w:cs="宋体"/>
          <w:color w:val="000000"/>
          <w:kern w:val="0"/>
          <w:sz w:val="24"/>
          <w:szCs w:val="24"/>
          <w:lang w:val="en-US" w:eastAsia="zh-CN" w:bidi="ar"/>
        </w:rPr>
        <w:t>本项目运行期间产生的废水主要来自：牛尿及其他养殖废水、初期雨水和生活污水经废水处理设施处理后周边租用的林地、田地灌溉。</w:t>
      </w:r>
      <w:r>
        <w:rPr>
          <w:rFonts w:hint="eastAsia" w:asciiTheme="minorEastAsia" w:hAnsiTheme="minorEastAsia" w:eastAsiaTheme="minorEastAsia" w:cstheme="minorEastAsia"/>
          <w:vertAlign w:val="baseline"/>
          <w:lang w:val="en-US" w:eastAsia="zh-CN"/>
        </w:rPr>
        <w:t>本项目主要生产环节及治理措施见下表：</w:t>
      </w:r>
    </w:p>
    <w:p>
      <w:pPr>
        <w:keepNext w:val="0"/>
        <w:keepLines w:val="0"/>
        <w:widowControl/>
        <w:suppressLineNumbers w:val="0"/>
        <w:ind w:firstLine="1200" w:firstLineChars="500"/>
        <w:jc w:val="left"/>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sz w:val="24"/>
          <w:szCs w:val="24"/>
          <w:lang w:val="en-US" w:eastAsia="zh-CN"/>
        </w:rPr>
        <w:t>表 3.8-2</w:t>
      </w:r>
      <w:r>
        <w:rPr>
          <w:rFonts w:hint="eastAsia"/>
          <w:sz w:val="24"/>
          <w:szCs w:val="24"/>
          <w:lang w:val="en-US" w:eastAsia="zh-CN"/>
        </w:rPr>
        <w:t xml:space="preserve">  </w:t>
      </w:r>
      <w:r>
        <w:rPr>
          <w:rFonts w:hint="eastAsia" w:asciiTheme="minorEastAsia" w:hAnsiTheme="minorEastAsia" w:eastAsiaTheme="minorEastAsia" w:cstheme="minorEastAsia"/>
          <w:vertAlign w:val="baseline"/>
          <w:lang w:val="en-US" w:eastAsia="zh-CN"/>
        </w:rPr>
        <w:t xml:space="preserve"> 废水产生环节及治理措施</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1"/>
        <w:gridCol w:w="1560"/>
        <w:gridCol w:w="3765"/>
        <w:gridCol w:w="2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污染源</w:t>
            </w:r>
          </w:p>
        </w:tc>
        <w:tc>
          <w:tcPr>
            <w:tcW w:w="1560" w:type="dxa"/>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污染物</w:t>
            </w:r>
          </w:p>
        </w:tc>
        <w:tc>
          <w:tcPr>
            <w:tcW w:w="3765" w:type="dxa"/>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防治措施</w:t>
            </w:r>
          </w:p>
        </w:tc>
        <w:tc>
          <w:tcPr>
            <w:tcW w:w="2206"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排放方式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991" w:type="dxa"/>
            <w:vAlign w:val="center"/>
          </w:tcPr>
          <w:p>
            <w:pPr>
              <w:pStyle w:val="7"/>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牛尿粪</w:t>
            </w:r>
          </w:p>
        </w:tc>
        <w:tc>
          <w:tcPr>
            <w:tcW w:w="1560" w:type="dxa"/>
            <w:vMerge w:val="restart"/>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pH、CODcr、氨氮、SS、TP、TN、BOD</w:t>
            </w:r>
            <w:r>
              <w:rPr>
                <w:rFonts w:hint="eastAsia" w:asciiTheme="minorEastAsia" w:hAnsiTheme="minorEastAsia" w:eastAsiaTheme="minorEastAsia" w:cstheme="minorEastAsia"/>
                <w:sz w:val="21"/>
                <w:szCs w:val="21"/>
                <w:vertAlign w:val="subscript"/>
                <w:lang w:val="en-US" w:eastAsia="zh-CN"/>
              </w:rPr>
              <w:t>5</w:t>
            </w:r>
          </w:p>
        </w:tc>
        <w:tc>
          <w:tcPr>
            <w:tcW w:w="3765" w:type="dxa"/>
            <w:vMerge w:val="restart"/>
            <w:vAlign w:val="center"/>
          </w:tcPr>
          <w:p>
            <w:pPr>
              <w:keepNext w:val="0"/>
              <w:keepLines w:val="0"/>
              <w:widowControl/>
              <w:suppressLineNumbers w:val="0"/>
              <w:spacing w:line="240" w:lineRule="auto"/>
              <w:ind w:left="0" w:leftChars="0" w:firstLine="0" w:firstLineChars="0"/>
              <w:jc w:val="left"/>
              <w:rPr>
                <w:rFonts w:hint="default" w:eastAsiaTheme="minorEastAsia"/>
                <w:sz w:val="21"/>
                <w:szCs w:val="21"/>
                <w:lang w:val="en-US" w:eastAsia="zh-CN"/>
              </w:rPr>
            </w:pPr>
            <w:r>
              <w:rPr>
                <w:rFonts w:hint="eastAsia" w:ascii="宋体" w:hAnsi="宋体" w:eastAsia="宋体" w:cs="宋体"/>
                <w:color w:val="000000"/>
                <w:kern w:val="0"/>
                <w:sz w:val="21"/>
                <w:szCs w:val="21"/>
                <w:lang w:val="en-US" w:eastAsia="zh-CN" w:bidi="ar"/>
              </w:rPr>
              <w:t>栏舍地面为水泥浇筑，采用斜坡式构造，牛尿及少量其他养殖废水溢流至栏舍内的</w:t>
            </w:r>
            <w:r>
              <w:rPr>
                <w:rFonts w:hint="eastAsia" w:asciiTheme="minorEastAsia" w:hAnsiTheme="minorEastAsia" w:eastAsiaTheme="minorEastAsia" w:cstheme="minorEastAsia"/>
                <w:lang w:val="en-US" w:eastAsia="zh-CN"/>
              </w:rPr>
              <w:t>牛粪便和其他饲料残渣、</w:t>
            </w:r>
            <w:r>
              <w:rPr>
                <w:rFonts w:hint="eastAsia" w:asciiTheme="minorEastAsia" w:hAnsiTheme="minorEastAsia" w:eastAsiaTheme="minorEastAsia" w:cstheme="minorEastAsia"/>
              </w:rPr>
              <w:t>杂质</w:t>
            </w:r>
            <w:r>
              <w:rPr>
                <w:rFonts w:hint="eastAsia" w:asciiTheme="minorEastAsia" w:hAnsiTheme="minorEastAsia" w:eastAsiaTheme="minorEastAsia" w:cstheme="minorEastAsia"/>
                <w:lang w:val="en-US" w:eastAsia="zh-CN"/>
              </w:rPr>
              <w:t>中后</w:t>
            </w:r>
            <w:r>
              <w:rPr>
                <w:rFonts w:hint="eastAsia" w:asciiTheme="minorEastAsia" w:hAnsiTheme="minorEastAsia" w:eastAsiaTheme="minorEastAsia" w:cstheme="minorEastAsia"/>
                <w:b w:val="0"/>
                <w:bCs w:val="0"/>
                <w:color w:val="000000"/>
                <w:kern w:val="0"/>
                <w:sz w:val="24"/>
                <w:szCs w:val="24"/>
                <w:lang w:val="en-US" w:eastAsia="zh-CN" w:bidi="ar"/>
              </w:rPr>
              <w:t>委托浙江一海新能源有限公司进行无害化处理</w:t>
            </w:r>
            <w:r>
              <w:rPr>
                <w:rFonts w:hint="eastAsia" w:asciiTheme="minorEastAsia" w:hAnsiTheme="minorEastAsia" w:eastAsiaTheme="minorEastAsia" w:cstheme="minorEastAsia"/>
                <w:sz w:val="24"/>
                <w:szCs w:val="24"/>
              </w:rPr>
              <w:t>；</w:t>
            </w:r>
          </w:p>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p>
        </w:tc>
        <w:tc>
          <w:tcPr>
            <w:tcW w:w="2206" w:type="dxa"/>
            <w:vMerge w:val="restart"/>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牛粪尿、饮水撒漏水混入</w:t>
            </w:r>
            <w:r>
              <w:rPr>
                <w:rFonts w:hint="eastAsia" w:asciiTheme="minorEastAsia" w:hAnsiTheme="minorEastAsia" w:eastAsiaTheme="minorEastAsia" w:cstheme="minorEastAsia"/>
                <w:lang w:val="en-US" w:eastAsia="zh-CN"/>
              </w:rPr>
              <w:t>牛粪便和其他饲料残渣、</w:t>
            </w:r>
            <w:r>
              <w:rPr>
                <w:rFonts w:hint="eastAsia" w:asciiTheme="minorEastAsia" w:hAnsiTheme="minorEastAsia" w:eastAsiaTheme="minorEastAsia" w:cstheme="minorEastAsia"/>
              </w:rPr>
              <w:t>杂质收集后</w:t>
            </w:r>
            <w:r>
              <w:rPr>
                <w:rFonts w:hint="eastAsia" w:asciiTheme="minorEastAsia" w:hAnsiTheme="minorEastAsia" w:eastAsiaTheme="minorEastAsia" w:cstheme="minorEastAsia"/>
                <w:b w:val="0"/>
                <w:bCs w:val="0"/>
                <w:color w:val="000000"/>
                <w:kern w:val="0"/>
                <w:sz w:val="24"/>
                <w:szCs w:val="24"/>
                <w:lang w:val="en-US" w:eastAsia="zh-CN" w:bidi="ar"/>
              </w:rPr>
              <w:t>委托进行无害化处理</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1"/>
                <w:szCs w:val="21"/>
                <w:vertAlign w:val="baseline"/>
                <w:lang w:val="en-US" w:eastAsia="zh-CN"/>
              </w:rPr>
              <w:t>初期雨水及生活污水经生化处理达标后排放附近林地、田地灌溉消纳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饮水系统撒漏水</w:t>
            </w:r>
          </w:p>
        </w:tc>
        <w:tc>
          <w:tcPr>
            <w:tcW w:w="1560" w:type="dxa"/>
            <w:vMerge w:val="continue"/>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3765" w:type="dxa"/>
            <w:vMerge w:val="continue"/>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p>
        </w:tc>
        <w:tc>
          <w:tcPr>
            <w:tcW w:w="2206" w:type="dxa"/>
            <w:vMerge w:val="continue"/>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Align w:val="center"/>
          </w:tcPr>
          <w:p>
            <w:pPr>
              <w:pStyle w:val="7"/>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初期雨水</w:t>
            </w:r>
          </w:p>
        </w:tc>
        <w:tc>
          <w:tcPr>
            <w:tcW w:w="1560" w:type="dxa"/>
            <w:vAlign w:val="center"/>
          </w:tcPr>
          <w:p>
            <w:pPr>
              <w:pStyle w:val="7"/>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pH、CODcr、SS</w:t>
            </w:r>
          </w:p>
        </w:tc>
        <w:tc>
          <w:tcPr>
            <w:tcW w:w="3765" w:type="dxa"/>
            <w:vAlign w:val="center"/>
          </w:tcPr>
          <w:p>
            <w:pPr>
              <w:keepNext w:val="0"/>
              <w:keepLines w:val="0"/>
              <w:widowControl/>
              <w:suppressLineNumbers w:val="0"/>
              <w:spacing w:line="240" w:lineRule="auto"/>
              <w:ind w:left="0" w:leftChars="0" w:firstLine="0" w:firstLineChars="0"/>
              <w:jc w:val="left"/>
              <w:rPr>
                <w:rFonts w:hint="eastAsia" w:asciiTheme="minorEastAsia" w:hAnsiTheme="minorEastAsia" w:eastAsiaTheme="minorEastAsia" w:cstheme="minorEastAsia"/>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经初期雨水池收集后暂存，定期分批次均质纳入废水处理设施收集池内。</w:t>
            </w:r>
          </w:p>
        </w:tc>
        <w:tc>
          <w:tcPr>
            <w:tcW w:w="2206" w:type="dxa"/>
            <w:vMerge w:val="continue"/>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Align w:val="center"/>
          </w:tcPr>
          <w:p>
            <w:pPr>
              <w:pStyle w:val="7"/>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生活污水</w:t>
            </w:r>
          </w:p>
        </w:tc>
        <w:tc>
          <w:tcPr>
            <w:tcW w:w="1560" w:type="dxa"/>
            <w:vAlign w:val="center"/>
          </w:tcPr>
          <w:p>
            <w:pPr>
              <w:pStyle w:val="7"/>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pH、CODcr、氨氮</w:t>
            </w:r>
          </w:p>
        </w:tc>
        <w:tc>
          <w:tcPr>
            <w:tcW w:w="3765" w:type="dxa"/>
            <w:vAlign w:val="center"/>
          </w:tcPr>
          <w:p>
            <w:pPr>
              <w:keepNext w:val="0"/>
              <w:keepLines w:val="0"/>
              <w:widowControl/>
              <w:suppressLineNumbers w:val="0"/>
              <w:spacing w:line="240" w:lineRule="auto"/>
              <w:ind w:left="0" w:leftChars="0" w:firstLine="0" w:firstLineChars="0"/>
              <w:jc w:val="left"/>
              <w:rPr>
                <w:rFonts w:hint="eastAsia" w:asciiTheme="minorEastAsia" w:hAnsiTheme="minorEastAsia" w:eastAsiaTheme="minorEastAsia" w:cstheme="minorEastAsia"/>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经隔油</w:t>
            </w:r>
            <w:r>
              <w:rPr>
                <w:rFonts w:hint="default" w:ascii="Times New Roman" w:hAnsi="Times New Roman" w:eastAsia="宋体" w:cs="Times New Roman"/>
                <w:color w:val="000000"/>
                <w:kern w:val="0"/>
                <w:sz w:val="21"/>
                <w:szCs w:val="21"/>
                <w:lang w:val="en-US" w:eastAsia="zh-CN" w:bidi="ar"/>
              </w:rPr>
              <w:t>+</w:t>
            </w:r>
            <w:r>
              <w:rPr>
                <w:rFonts w:hint="eastAsia" w:ascii="宋体" w:hAnsi="宋体" w:eastAsia="宋体" w:cs="宋体"/>
                <w:color w:val="000000"/>
                <w:kern w:val="0"/>
                <w:sz w:val="21"/>
                <w:szCs w:val="21"/>
                <w:lang w:val="en-US" w:eastAsia="zh-CN" w:bidi="ar"/>
              </w:rPr>
              <w:t>化粪池预处理后并入废水处理设施处理</w:t>
            </w:r>
          </w:p>
        </w:tc>
        <w:tc>
          <w:tcPr>
            <w:tcW w:w="2206" w:type="dxa"/>
            <w:vMerge w:val="continue"/>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p>
        </w:tc>
      </w:tr>
    </w:tbl>
    <w:p>
      <w:pPr>
        <w:pStyle w:val="7"/>
        <w:ind w:left="0" w:leftChars="0" w:firstLine="0" w:firstLineChars="0"/>
        <w:rPr>
          <w:rFonts w:hint="eastAsia" w:asciiTheme="minorEastAsia" w:hAnsiTheme="minorEastAsia" w:eastAsiaTheme="minorEastAsia" w:cstheme="minorEastAsia"/>
          <w:vertAlign w:val="baseline"/>
          <w:lang w:val="en-US" w:eastAsia="zh-CN"/>
        </w:rPr>
      </w:pPr>
    </w:p>
    <w:p>
      <w:pPr>
        <w:pStyle w:val="7"/>
        <w:ind w:left="0" w:leftChars="0" w:firstLine="240" w:firstLineChars="100"/>
        <w:rPr>
          <w:rFonts w:hint="eastAsia" w:asciiTheme="minorEastAsia" w:hAnsiTheme="minorEastAsia" w:eastAsiaTheme="minorEastAsia" w:cstheme="minorEastAsia"/>
          <w:vertAlign w:val="baseline"/>
          <w:lang w:val="en-US" w:eastAsia="zh-CN"/>
        </w:rPr>
      </w:pPr>
      <w:r>
        <w:rPr>
          <w:rFonts w:hint="eastAsia" w:ascii="宋体" w:hAnsi="宋体" w:eastAsia="宋体" w:cs="宋体"/>
          <w:vertAlign w:val="baseline"/>
          <w:lang w:val="en-US" w:eastAsia="zh-CN"/>
        </w:rPr>
        <w:t xml:space="preserve">③ </w:t>
      </w:r>
      <w:r>
        <w:rPr>
          <w:rFonts w:hint="eastAsia" w:asciiTheme="minorEastAsia" w:hAnsiTheme="minorEastAsia" w:eastAsiaTheme="minorEastAsia" w:cstheme="minorEastAsia"/>
          <w:vertAlign w:val="baseline"/>
          <w:lang w:val="en-US" w:eastAsia="zh-CN"/>
        </w:rPr>
        <w:t>固体废弃物</w:t>
      </w:r>
    </w:p>
    <w:p>
      <w:pPr>
        <w:pStyle w:val="7"/>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项目固体废弃物主要为牛粪、病死牛、医疗垃圾、生活垃圾及牛栏舍定期更换的牛粪渣等。固体废弃物具体处置方式及去向见表</w:t>
      </w:r>
    </w:p>
    <w:p>
      <w:pPr>
        <w:pStyle w:val="7"/>
        <w:ind w:firstLine="1200" w:firstLineChars="500"/>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表3.8-3   固体废弃物产生及处置方式情况</w:t>
      </w:r>
    </w:p>
    <w:tbl>
      <w:tblPr>
        <w:tblStyle w:val="24"/>
        <w:tblW w:w="0" w:type="auto"/>
        <w:tblInd w:w="1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7"/>
        <w:gridCol w:w="3063"/>
        <w:gridCol w:w="1485"/>
        <w:gridCol w:w="2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dxa"/>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序号</w:t>
            </w:r>
          </w:p>
        </w:tc>
        <w:tc>
          <w:tcPr>
            <w:tcW w:w="3063" w:type="dxa"/>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废物名称</w:t>
            </w:r>
          </w:p>
        </w:tc>
        <w:tc>
          <w:tcPr>
            <w:tcW w:w="1485" w:type="dxa"/>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固废性质</w:t>
            </w:r>
          </w:p>
        </w:tc>
        <w:tc>
          <w:tcPr>
            <w:tcW w:w="2850" w:type="dxa"/>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w:t>
            </w:r>
          </w:p>
        </w:tc>
        <w:tc>
          <w:tcPr>
            <w:tcW w:w="3063" w:type="dxa"/>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一般包装材料</w:t>
            </w:r>
          </w:p>
        </w:tc>
        <w:tc>
          <w:tcPr>
            <w:tcW w:w="1485" w:type="dxa"/>
            <w:vMerge w:val="restart"/>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一般</w:t>
            </w:r>
          </w:p>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4"/>
                <w:szCs w:val="24"/>
                <w:vertAlign w:val="baseline"/>
                <w:lang w:val="en-US" w:eastAsia="zh-CN"/>
              </w:rPr>
              <w:t>固废</w:t>
            </w:r>
          </w:p>
        </w:tc>
        <w:tc>
          <w:tcPr>
            <w:tcW w:w="2850" w:type="dxa"/>
            <w:vMerge w:val="restart"/>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委托进行无害化处置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w:t>
            </w:r>
          </w:p>
        </w:tc>
        <w:tc>
          <w:tcPr>
            <w:tcW w:w="3063" w:type="dxa"/>
            <w:vAlign w:val="center"/>
          </w:tcPr>
          <w:p>
            <w:pPr>
              <w:pStyle w:val="7"/>
              <w:spacing w:line="240" w:lineRule="auto"/>
              <w:ind w:firstLine="420" w:firstLineChars="20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废塑料膜</w:t>
            </w:r>
          </w:p>
        </w:tc>
        <w:tc>
          <w:tcPr>
            <w:tcW w:w="1485" w:type="dxa"/>
            <w:vMerge w:val="continue"/>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p>
        </w:tc>
        <w:tc>
          <w:tcPr>
            <w:tcW w:w="2850" w:type="dxa"/>
            <w:vMerge w:val="continue"/>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3</w:t>
            </w:r>
          </w:p>
        </w:tc>
        <w:tc>
          <w:tcPr>
            <w:tcW w:w="3063" w:type="dxa"/>
            <w:vAlign w:val="center"/>
          </w:tcPr>
          <w:p>
            <w:pPr>
              <w:pStyle w:val="7"/>
              <w:spacing w:line="240" w:lineRule="auto"/>
              <w:ind w:firstLine="420" w:firstLineChars="20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牛粪</w:t>
            </w:r>
          </w:p>
        </w:tc>
        <w:tc>
          <w:tcPr>
            <w:tcW w:w="1485" w:type="dxa"/>
            <w:vMerge w:val="continue"/>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p>
        </w:tc>
        <w:tc>
          <w:tcPr>
            <w:tcW w:w="2850" w:type="dxa"/>
            <w:vMerge w:val="continue"/>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4</w:t>
            </w:r>
          </w:p>
        </w:tc>
        <w:tc>
          <w:tcPr>
            <w:tcW w:w="3063" w:type="dxa"/>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饲料残渣及杂质</w:t>
            </w:r>
          </w:p>
        </w:tc>
        <w:tc>
          <w:tcPr>
            <w:tcW w:w="1485" w:type="dxa"/>
            <w:vMerge w:val="continue"/>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p>
        </w:tc>
        <w:tc>
          <w:tcPr>
            <w:tcW w:w="2850" w:type="dxa"/>
            <w:vMerge w:val="continue"/>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5</w:t>
            </w:r>
          </w:p>
        </w:tc>
        <w:tc>
          <w:tcPr>
            <w:tcW w:w="3063" w:type="dxa"/>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病死牛尸体</w:t>
            </w:r>
          </w:p>
        </w:tc>
        <w:tc>
          <w:tcPr>
            <w:tcW w:w="4335" w:type="dxa"/>
            <w:gridSpan w:val="2"/>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按农业部门要求进行处置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6</w:t>
            </w:r>
          </w:p>
        </w:tc>
        <w:tc>
          <w:tcPr>
            <w:tcW w:w="3063" w:type="dxa"/>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医疗废物（HW01 841-005-01）</w:t>
            </w:r>
          </w:p>
        </w:tc>
        <w:tc>
          <w:tcPr>
            <w:tcW w:w="1485" w:type="dxa"/>
            <w:vMerge w:val="restart"/>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危险</w:t>
            </w:r>
          </w:p>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废物</w:t>
            </w:r>
          </w:p>
        </w:tc>
        <w:tc>
          <w:tcPr>
            <w:tcW w:w="2850" w:type="dxa"/>
            <w:vMerge w:val="restart"/>
            <w:vAlign w:val="center"/>
          </w:tcPr>
          <w:p>
            <w:pPr>
              <w:pStyle w:val="7"/>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暂存到一定数量后委托有资质处置单位进行处置。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7</w:t>
            </w:r>
          </w:p>
        </w:tc>
        <w:tc>
          <w:tcPr>
            <w:tcW w:w="3063" w:type="dxa"/>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废机油(HW08 900-249-08)</w:t>
            </w:r>
          </w:p>
        </w:tc>
        <w:tc>
          <w:tcPr>
            <w:tcW w:w="1485" w:type="dxa"/>
            <w:vMerge w:val="continue"/>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p>
        </w:tc>
        <w:tc>
          <w:tcPr>
            <w:tcW w:w="2850" w:type="dxa"/>
            <w:vMerge w:val="continue"/>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8</w:t>
            </w:r>
          </w:p>
        </w:tc>
        <w:tc>
          <w:tcPr>
            <w:tcW w:w="3063" w:type="dxa"/>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含油抹布(HW49 900-041-49)</w:t>
            </w:r>
          </w:p>
        </w:tc>
        <w:tc>
          <w:tcPr>
            <w:tcW w:w="1485" w:type="dxa"/>
            <w:vMerge w:val="continue"/>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p>
        </w:tc>
        <w:tc>
          <w:tcPr>
            <w:tcW w:w="2850" w:type="dxa"/>
            <w:vMerge w:val="continue"/>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7"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w:t>
            </w:r>
          </w:p>
        </w:tc>
        <w:tc>
          <w:tcPr>
            <w:tcW w:w="3063" w:type="dxa"/>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生活垃圾</w:t>
            </w:r>
          </w:p>
        </w:tc>
        <w:tc>
          <w:tcPr>
            <w:tcW w:w="4335" w:type="dxa"/>
            <w:gridSpan w:val="2"/>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环卫部门统一清运</w:t>
            </w:r>
          </w:p>
        </w:tc>
      </w:tr>
    </w:tbl>
    <w:p>
      <w:pPr>
        <w:pStyle w:val="6"/>
        <w:numPr>
          <w:ilvl w:val="7"/>
          <w:numId w:val="0"/>
        </w:numPr>
        <w:ind w:leftChars="200"/>
        <w:outlineLvl w:val="1"/>
        <w:rPr>
          <w:rFonts w:hint="eastAsia"/>
          <w:lang w:val="en-US" w:eastAsia="zh-CN"/>
        </w:rPr>
      </w:pPr>
      <w:bookmarkStart w:id="91" w:name="_Toc19085"/>
      <w:bookmarkStart w:id="92" w:name="_Toc7267"/>
      <w:bookmarkStart w:id="93" w:name="_Toc21073"/>
      <w:bookmarkStart w:id="94" w:name="_Toc26383"/>
      <w:bookmarkStart w:id="95" w:name="_Toc2508"/>
      <w:bookmarkStart w:id="96" w:name="_Toc28395"/>
      <w:r>
        <w:rPr>
          <w:rFonts w:hint="eastAsia" w:ascii="宋体" w:hAnsi="宋体" w:eastAsia="宋体" w:cs="宋体"/>
          <w:lang w:val="en-US" w:eastAsia="zh-CN"/>
        </w:rPr>
        <w:t>④</w:t>
      </w:r>
      <w:r>
        <w:rPr>
          <w:rFonts w:hint="eastAsia" w:ascii="黑体" w:hAnsi="黑体" w:cs="黑体"/>
          <w:lang w:val="en-US" w:eastAsia="zh-CN"/>
        </w:rPr>
        <w:t xml:space="preserve"> </w:t>
      </w:r>
      <w:r>
        <w:rPr>
          <w:rFonts w:hint="eastAsia"/>
          <w:lang w:val="en-US" w:eastAsia="zh-CN"/>
        </w:rPr>
        <w:t>噪声</w:t>
      </w:r>
      <w:bookmarkEnd w:id="91"/>
      <w:bookmarkEnd w:id="92"/>
      <w:bookmarkEnd w:id="93"/>
      <w:bookmarkEnd w:id="94"/>
      <w:bookmarkEnd w:id="95"/>
      <w:bookmarkEnd w:id="96"/>
    </w:p>
    <w:p>
      <w:pPr>
        <w:pStyle w:val="7"/>
        <w:spacing w:line="360" w:lineRule="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项目噪声源主要为牛叫声、有机肥堆场翻抛机、车辆行驶及水泵、污水处理设备运行噪声等。其噪声排放及污染防治措施见表</w:t>
      </w:r>
    </w:p>
    <w:p>
      <w:pPr>
        <w:pStyle w:val="7"/>
        <w:spacing w:line="240" w:lineRule="auto"/>
        <w:ind w:firstLine="1920" w:firstLineChars="800"/>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表 3.8-4  噪声源强相关情况</w:t>
      </w:r>
    </w:p>
    <w:tbl>
      <w:tblPr>
        <w:tblStyle w:val="24"/>
        <w:tblW w:w="0" w:type="auto"/>
        <w:tblInd w:w="17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0"/>
        <w:gridCol w:w="1268"/>
        <w:gridCol w:w="1455"/>
        <w:gridCol w:w="2898"/>
        <w:gridCol w:w="1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8" w:type="dxa"/>
            <w:gridSpan w:val="2"/>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噪声源</w:t>
            </w:r>
          </w:p>
        </w:tc>
        <w:tc>
          <w:tcPr>
            <w:tcW w:w="1455" w:type="dxa"/>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噪声级dB(A)</w:t>
            </w:r>
          </w:p>
        </w:tc>
        <w:tc>
          <w:tcPr>
            <w:tcW w:w="2898" w:type="dxa"/>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控制措施</w:t>
            </w:r>
          </w:p>
        </w:tc>
        <w:tc>
          <w:tcPr>
            <w:tcW w:w="1069" w:type="dxa"/>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排放特征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0" w:type="dxa"/>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牛栏舍</w:t>
            </w:r>
          </w:p>
        </w:tc>
        <w:tc>
          <w:tcPr>
            <w:tcW w:w="1268" w:type="dxa"/>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牛叫声</w:t>
            </w:r>
          </w:p>
        </w:tc>
        <w:tc>
          <w:tcPr>
            <w:tcW w:w="1455"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80</w:t>
            </w:r>
          </w:p>
        </w:tc>
        <w:tc>
          <w:tcPr>
            <w:tcW w:w="2898" w:type="dxa"/>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满足饮食，避免饥渴</w:t>
            </w:r>
          </w:p>
        </w:tc>
        <w:tc>
          <w:tcPr>
            <w:tcW w:w="1069"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间歇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0" w:type="dxa"/>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饲料库</w:t>
            </w:r>
          </w:p>
        </w:tc>
        <w:tc>
          <w:tcPr>
            <w:tcW w:w="1268" w:type="dxa"/>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饲料搅拌</w:t>
            </w:r>
          </w:p>
        </w:tc>
        <w:tc>
          <w:tcPr>
            <w:tcW w:w="1455"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90</w:t>
            </w:r>
          </w:p>
        </w:tc>
        <w:tc>
          <w:tcPr>
            <w:tcW w:w="2898" w:type="dxa"/>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仓库内布设，低噪声设备</w:t>
            </w:r>
          </w:p>
        </w:tc>
        <w:tc>
          <w:tcPr>
            <w:tcW w:w="1069" w:type="dxa"/>
            <w:vAlign w:val="center"/>
          </w:tcPr>
          <w:p>
            <w:pPr>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间歇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0" w:type="dxa"/>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堆粪场</w:t>
            </w:r>
          </w:p>
        </w:tc>
        <w:tc>
          <w:tcPr>
            <w:tcW w:w="1268" w:type="dxa"/>
            <w:vAlign w:val="center"/>
          </w:tcPr>
          <w:p>
            <w:pPr>
              <w:pStyle w:val="7"/>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翻堆机</w:t>
            </w:r>
          </w:p>
        </w:tc>
        <w:tc>
          <w:tcPr>
            <w:tcW w:w="1455"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80</w:t>
            </w:r>
          </w:p>
        </w:tc>
        <w:tc>
          <w:tcPr>
            <w:tcW w:w="2898" w:type="dxa"/>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合理工作时间，选择低噪设备</w:t>
            </w:r>
          </w:p>
        </w:tc>
        <w:tc>
          <w:tcPr>
            <w:tcW w:w="1069" w:type="dxa"/>
            <w:vAlign w:val="center"/>
          </w:tcPr>
          <w:p>
            <w:pPr>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间歇</w:t>
            </w:r>
          </w:p>
        </w:tc>
      </w:tr>
    </w:tbl>
    <w:p>
      <w:pPr>
        <w:pStyle w:val="7"/>
        <w:spacing w:line="360" w:lineRule="auto"/>
        <w:ind w:left="0" w:leftChars="0" w:firstLine="0" w:firstLineChars="0"/>
        <w:outlineLvl w:val="1"/>
        <w:rPr>
          <w:rFonts w:hint="eastAsia" w:asciiTheme="minorEastAsia" w:hAnsiTheme="minorEastAsia" w:eastAsiaTheme="minorEastAsia" w:cstheme="minorEastAsia"/>
          <w:b/>
          <w:bCs/>
          <w:sz w:val="28"/>
          <w:szCs w:val="28"/>
          <w:vertAlign w:val="baseline"/>
          <w:lang w:val="en-US" w:eastAsia="zh-CN"/>
        </w:rPr>
      </w:pPr>
      <w:bookmarkStart w:id="97" w:name="_Toc28886"/>
      <w:bookmarkStart w:id="98" w:name="_Toc22028"/>
      <w:r>
        <w:rPr>
          <w:rFonts w:hint="eastAsia" w:asciiTheme="minorEastAsia" w:hAnsiTheme="minorEastAsia" w:eastAsiaTheme="minorEastAsia" w:cstheme="minorEastAsia"/>
          <w:b/>
          <w:bCs/>
          <w:sz w:val="28"/>
          <w:szCs w:val="28"/>
          <w:vertAlign w:val="baseline"/>
          <w:lang w:val="en-US" w:eastAsia="zh-CN"/>
        </w:rPr>
        <w:t>3.9、环保设施投资及三同时落实情况</w:t>
      </w:r>
      <w:bookmarkEnd w:id="97"/>
      <w:bookmarkEnd w:id="98"/>
    </w:p>
    <w:p>
      <w:pPr>
        <w:pStyle w:val="7"/>
        <w:spacing w:line="360" w:lineRule="auto"/>
        <w:ind w:left="0" w:leftChars="0" w:firstLine="0" w:firstLineChars="0"/>
        <w:rPr>
          <w:rFonts w:hint="eastAsia" w:asciiTheme="minorEastAsia" w:hAnsiTheme="minorEastAsia" w:eastAsiaTheme="minorEastAsia" w:cstheme="minorEastAsia"/>
          <w:sz w:val="24"/>
          <w:szCs w:val="24"/>
          <w:vertAlign w:val="baseline"/>
          <w:lang w:val="en-US" w:eastAsia="zh-CN"/>
        </w:rPr>
      </w:pPr>
      <w:r>
        <w:rPr>
          <w:rFonts w:hint="eastAsia" w:ascii="宋体" w:hAnsi="宋体" w:eastAsia="宋体" w:cs="宋体"/>
          <w:sz w:val="24"/>
          <w:szCs w:val="24"/>
          <w:vertAlign w:val="baseline"/>
          <w:lang w:val="en-US" w:eastAsia="zh-CN"/>
        </w:rPr>
        <w:t xml:space="preserve">⑴ </w:t>
      </w:r>
      <w:r>
        <w:rPr>
          <w:rFonts w:hint="eastAsia" w:asciiTheme="minorEastAsia" w:hAnsiTheme="minorEastAsia" w:eastAsiaTheme="minorEastAsia" w:cstheme="minorEastAsia"/>
          <w:sz w:val="24"/>
          <w:szCs w:val="24"/>
          <w:vertAlign w:val="baseline"/>
          <w:lang w:val="en-US" w:eastAsia="zh-CN"/>
        </w:rPr>
        <w:t>环保设施投资落实情况</w:t>
      </w:r>
    </w:p>
    <w:p>
      <w:pPr>
        <w:keepNext w:val="0"/>
        <w:keepLines w:val="0"/>
        <w:widowControl/>
        <w:suppressLineNumbers w:val="0"/>
        <w:spacing w:line="360" w:lineRule="auto"/>
        <w:jc w:val="left"/>
        <w:rPr>
          <w:rFonts w:hint="eastAsia" w:asciiTheme="minorEastAsia" w:hAnsiTheme="minorEastAsia" w:eastAsiaTheme="minorEastAsia" w:cstheme="minorEastAsia"/>
          <w:sz w:val="24"/>
          <w:szCs w:val="24"/>
          <w:vertAlign w:val="baseline"/>
          <w:lang w:val="en-US" w:eastAsia="zh-CN"/>
        </w:rPr>
      </w:pPr>
      <w:r>
        <w:rPr>
          <w:rFonts w:hint="eastAsia" w:ascii="宋体" w:hAnsi="宋体" w:eastAsia="宋体" w:cs="宋体"/>
          <w:color w:val="000000"/>
          <w:kern w:val="0"/>
          <w:sz w:val="24"/>
          <w:szCs w:val="24"/>
          <w:lang w:val="en-US" w:eastAsia="zh-CN" w:bidi="ar"/>
        </w:rPr>
        <w:t>根据“三同时”原则，建设项目防治污染和其它公害的设施，必须与项目的主体工程同时设计、同时施工、同时投产使用。本项目环评设计投资为</w:t>
      </w:r>
      <w:r>
        <w:rPr>
          <w:rFonts w:hint="default" w:ascii="Times New Roman" w:hAnsi="Times New Roman" w:eastAsia="宋体" w:cs="Times New Roman"/>
          <w:color w:val="000000"/>
          <w:kern w:val="0"/>
          <w:sz w:val="24"/>
          <w:szCs w:val="24"/>
          <w:lang w:val="en-US" w:eastAsia="zh-CN" w:bidi="ar"/>
        </w:rPr>
        <w:t>10426</w:t>
      </w:r>
      <w:r>
        <w:rPr>
          <w:rFonts w:hint="eastAsia" w:ascii="宋体" w:hAnsi="宋体" w:eastAsia="宋体" w:cs="宋体"/>
          <w:color w:val="000000"/>
          <w:kern w:val="0"/>
          <w:sz w:val="24"/>
          <w:szCs w:val="24"/>
          <w:lang w:val="en-US" w:eastAsia="zh-CN" w:bidi="ar"/>
        </w:rPr>
        <w:t>万元，环保投资占项目总投资的</w:t>
      </w:r>
      <w:r>
        <w:rPr>
          <w:rFonts w:hint="default" w:ascii="Times New Roman" w:hAnsi="Times New Roman" w:eastAsia="宋体" w:cs="Times New Roman"/>
          <w:color w:val="000000"/>
          <w:kern w:val="0"/>
          <w:sz w:val="24"/>
          <w:szCs w:val="24"/>
          <w:lang w:val="en-US" w:eastAsia="zh-CN" w:bidi="ar"/>
        </w:rPr>
        <w:t>4.16%</w:t>
      </w:r>
      <w:r>
        <w:rPr>
          <w:rFonts w:hint="eastAsia" w:eastAsia="宋体" w:cs="Times New Roman"/>
          <w:color w:val="000000"/>
          <w:kern w:val="0"/>
          <w:sz w:val="24"/>
          <w:szCs w:val="24"/>
          <w:lang w:val="en-US" w:eastAsia="zh-CN" w:bidi="ar"/>
        </w:rPr>
        <w:t>，目前一期项目投资额为5000万元，因企业的污染治理设施发生了变更故企业的环保设施投资占一期工程项目投资的2.3%</w:t>
      </w:r>
      <w:r>
        <w:rPr>
          <w:rFonts w:hint="eastAsia" w:ascii="宋体" w:hAnsi="宋体" w:eastAsia="宋体" w:cs="宋体"/>
          <w:color w:val="000000"/>
          <w:kern w:val="0"/>
          <w:sz w:val="24"/>
          <w:szCs w:val="24"/>
          <w:lang w:val="en-US" w:eastAsia="zh-CN" w:bidi="ar"/>
        </w:rPr>
        <w:t xml:space="preserve">。环保设施投资费用见表 </w:t>
      </w:r>
      <w:r>
        <w:rPr>
          <w:rFonts w:hint="eastAsia" w:eastAsia="宋体" w:cs="Times New Roman"/>
          <w:color w:val="000000"/>
          <w:kern w:val="0"/>
          <w:sz w:val="24"/>
          <w:szCs w:val="24"/>
          <w:lang w:val="en-US" w:eastAsia="zh-CN" w:bidi="ar"/>
        </w:rPr>
        <w:t>3.9</w:t>
      </w: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w:t>
      </w:r>
    </w:p>
    <w:p>
      <w:pPr>
        <w:pStyle w:val="7"/>
        <w:spacing w:line="240" w:lineRule="auto"/>
        <w:ind w:firstLine="2160" w:firstLineChars="900"/>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表3.9-1  环保投资明细表                 单位：万元</w:t>
      </w:r>
    </w:p>
    <w:tbl>
      <w:tblPr>
        <w:tblStyle w:val="24"/>
        <w:tblW w:w="88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6"/>
        <w:gridCol w:w="664"/>
        <w:gridCol w:w="3354"/>
        <w:gridCol w:w="750"/>
        <w:gridCol w:w="2520"/>
        <w:gridCol w:w="10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0" w:type="dxa"/>
            <w:gridSpan w:val="2"/>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治理项目</w:t>
            </w:r>
          </w:p>
        </w:tc>
        <w:tc>
          <w:tcPr>
            <w:tcW w:w="3354"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环评及批复内容</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设计</w:t>
            </w:r>
          </w:p>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投资</w:t>
            </w:r>
          </w:p>
        </w:tc>
        <w:tc>
          <w:tcPr>
            <w:tcW w:w="252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一期实际建设内容</w:t>
            </w:r>
          </w:p>
        </w:tc>
        <w:tc>
          <w:tcPr>
            <w:tcW w:w="1091"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一期实</w:t>
            </w:r>
          </w:p>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际投资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0" w:type="dxa"/>
            <w:gridSpan w:val="2"/>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施工期</w:t>
            </w:r>
          </w:p>
        </w:tc>
        <w:tc>
          <w:tcPr>
            <w:tcW w:w="3354" w:type="dxa"/>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施工期间环境保护设施</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60</w:t>
            </w:r>
          </w:p>
        </w:tc>
        <w:tc>
          <w:tcPr>
            <w:tcW w:w="2520" w:type="dxa"/>
            <w:vAlign w:val="center"/>
          </w:tcPr>
          <w:p>
            <w:pPr>
              <w:pStyle w:val="7"/>
              <w:spacing w:line="240" w:lineRule="auto"/>
              <w:ind w:firstLine="420" w:firstLineChars="200"/>
              <w:jc w:val="center"/>
              <w:rPr>
                <w:rFonts w:hint="eastAsia" w:asciiTheme="minorEastAsia" w:hAnsiTheme="minorEastAsia" w:eastAsiaTheme="minorEastAsia" w:cstheme="minorEastAsia"/>
                <w:sz w:val="21"/>
                <w:szCs w:val="21"/>
                <w:vertAlign w:val="baseline"/>
                <w:lang w:val="en-US" w:eastAsia="zh-CN"/>
              </w:rPr>
            </w:pP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restart"/>
            <w:vAlign w:val="center"/>
          </w:tcPr>
          <w:p>
            <w:pPr>
              <w:pStyle w:val="7"/>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营运期</w:t>
            </w:r>
          </w:p>
        </w:tc>
        <w:tc>
          <w:tcPr>
            <w:tcW w:w="664" w:type="dxa"/>
            <w:vMerge w:val="restart"/>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废水治理</w:t>
            </w:r>
          </w:p>
        </w:tc>
        <w:tc>
          <w:tcPr>
            <w:tcW w:w="3354"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废水收集系统+污水处理站（沼气发电）</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140</w:t>
            </w:r>
          </w:p>
        </w:tc>
        <w:tc>
          <w:tcPr>
            <w:tcW w:w="2520" w:type="dxa"/>
            <w:vAlign w:val="center"/>
          </w:tcPr>
          <w:p>
            <w:pPr>
              <w:pStyle w:val="7"/>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因工艺变更，暂缓建设</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continue"/>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664" w:type="dxa"/>
            <w:vMerge w:val="continue"/>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3354"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储液池、灌溉污水输送渠道和田间灌溉储水池及其他配套设施</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65</w:t>
            </w:r>
          </w:p>
        </w:tc>
        <w:tc>
          <w:tcPr>
            <w:tcW w:w="2520" w:type="dxa"/>
            <w:vAlign w:val="center"/>
          </w:tcPr>
          <w:p>
            <w:pPr>
              <w:pStyle w:val="7"/>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污水处理收集池基本建成，</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664"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3354" w:type="dxa"/>
          </w:tcPr>
          <w:p>
            <w:pPr>
              <w:pStyle w:val="7"/>
              <w:spacing w:line="240" w:lineRule="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初期雨水收集系统及收集池</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5</w:t>
            </w:r>
          </w:p>
        </w:tc>
        <w:tc>
          <w:tcPr>
            <w:tcW w:w="2520"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与环评设计基本相符</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664"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3354" w:type="dxa"/>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栏舍、集粪间等防渗</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22</w:t>
            </w:r>
          </w:p>
        </w:tc>
        <w:tc>
          <w:tcPr>
            <w:tcW w:w="2520" w:type="dxa"/>
            <w:vAlign w:val="center"/>
          </w:tcPr>
          <w:p>
            <w:pPr>
              <w:pStyle w:val="7"/>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项目一期与环评设计基本相符</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664" w:type="dxa"/>
            <w:vMerge w:val="restart"/>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废气治理</w:t>
            </w:r>
          </w:p>
        </w:tc>
        <w:tc>
          <w:tcPr>
            <w:tcW w:w="3354"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通风换气+自动除臭喷雾除臭系统</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27</w:t>
            </w:r>
          </w:p>
        </w:tc>
        <w:tc>
          <w:tcPr>
            <w:tcW w:w="2520" w:type="dxa"/>
            <w:vAlign w:val="center"/>
          </w:tcPr>
          <w:p>
            <w:pPr>
              <w:pStyle w:val="7"/>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项目一期与环评设计基本相符</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664" w:type="dxa"/>
            <w:vMerge w:val="continue"/>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3354" w:type="dxa"/>
          </w:tcPr>
          <w:p>
            <w:pPr>
              <w:pStyle w:val="7"/>
              <w:spacing w:line="240" w:lineRule="auto"/>
              <w:ind w:left="0" w:leftChars="0" w:firstLine="0" w:firstLineChars="0"/>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集粪间臭气经塑料薄膜遮盖+每天喷雾一次500倍稀释的EM液</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5</w:t>
            </w:r>
          </w:p>
        </w:tc>
        <w:tc>
          <w:tcPr>
            <w:tcW w:w="2520" w:type="dxa"/>
            <w:vAlign w:val="center"/>
          </w:tcPr>
          <w:p>
            <w:pPr>
              <w:pStyle w:val="7"/>
              <w:spacing w:line="240" w:lineRule="auto"/>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与环评设计基本相符</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664" w:type="dxa"/>
            <w:vMerge w:val="continue"/>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3354" w:type="dxa"/>
          </w:tcPr>
          <w:p>
            <w:pPr>
              <w:pStyle w:val="7"/>
              <w:spacing w:line="240" w:lineRule="auto"/>
              <w:ind w:left="0" w:leftChars="0" w:firstLine="0" w:firstLineChars="0"/>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好氧堆肥恶臭经除臭喷淋塔+15m排气筒</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5</w:t>
            </w:r>
          </w:p>
        </w:tc>
        <w:tc>
          <w:tcPr>
            <w:tcW w:w="2520" w:type="dxa"/>
            <w:vAlign w:val="center"/>
          </w:tcPr>
          <w:p>
            <w:pPr>
              <w:pStyle w:val="7"/>
              <w:spacing w:line="240" w:lineRule="auto"/>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因工艺变更，未建设</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664" w:type="dxa"/>
            <w:vMerge w:val="continue"/>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3354" w:type="dxa"/>
          </w:tcPr>
          <w:p>
            <w:pPr>
              <w:pStyle w:val="7"/>
              <w:spacing w:line="240" w:lineRule="auto"/>
              <w:ind w:left="0" w:leftChars="0" w:firstLine="0" w:firstLineChars="0"/>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污水处理站黑膜密闭+每天喷雾一次500倍稀释的EM液</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7</w:t>
            </w:r>
          </w:p>
        </w:tc>
        <w:tc>
          <w:tcPr>
            <w:tcW w:w="2520"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因工艺变更，暂缓建设</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664" w:type="dxa"/>
            <w:vMerge w:val="continue"/>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3354" w:type="dxa"/>
          </w:tcPr>
          <w:p>
            <w:pPr>
              <w:pStyle w:val="7"/>
              <w:spacing w:line="240" w:lineRule="auto"/>
              <w:ind w:left="0" w:leftChars="0" w:firstLine="0" w:firstLineChars="0"/>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沼气脱硫及输配装置、沼气燃烧排气筒</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8</w:t>
            </w:r>
          </w:p>
        </w:tc>
        <w:tc>
          <w:tcPr>
            <w:tcW w:w="2520"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因工艺变更，暂缓建设</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506"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664" w:type="dxa"/>
            <w:vMerge w:val="continue"/>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3354" w:type="dxa"/>
          </w:tcPr>
          <w:p>
            <w:pPr>
              <w:pStyle w:val="7"/>
              <w:spacing w:line="240" w:lineRule="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油烟净化装置</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w:t>
            </w:r>
          </w:p>
        </w:tc>
        <w:tc>
          <w:tcPr>
            <w:tcW w:w="2520" w:type="dxa"/>
            <w:vAlign w:val="center"/>
          </w:tcPr>
          <w:p>
            <w:pPr>
              <w:pStyle w:val="7"/>
              <w:spacing w:line="240" w:lineRule="auto"/>
              <w:ind w:left="0" w:leftChars="0" w:firstLine="420" w:firstLineChars="2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食堂尚未建设</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664"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噪声</w:t>
            </w:r>
          </w:p>
        </w:tc>
        <w:tc>
          <w:tcPr>
            <w:tcW w:w="3354" w:type="dxa"/>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减震降噪措施</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w:t>
            </w:r>
          </w:p>
        </w:tc>
        <w:tc>
          <w:tcPr>
            <w:tcW w:w="2520" w:type="dxa"/>
            <w:vAlign w:val="center"/>
          </w:tcPr>
          <w:p>
            <w:pPr>
              <w:pStyle w:val="7"/>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项目一期与环评设计基本相符与环评设计相符</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664" w:type="dxa"/>
            <w:vMerge w:val="restart"/>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固废治理</w:t>
            </w:r>
          </w:p>
        </w:tc>
        <w:tc>
          <w:tcPr>
            <w:tcW w:w="3354" w:type="dxa"/>
          </w:tcPr>
          <w:p>
            <w:pPr>
              <w:pStyle w:val="7"/>
              <w:spacing w:line="240" w:lineRule="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冰库贮存、委托处理（病死牛）</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30</w:t>
            </w:r>
          </w:p>
        </w:tc>
        <w:tc>
          <w:tcPr>
            <w:tcW w:w="252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与环评设计基本相符</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664" w:type="dxa"/>
            <w:vMerge w:val="continue"/>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3354" w:type="dxa"/>
          </w:tcPr>
          <w:p>
            <w:pPr>
              <w:pStyle w:val="7"/>
              <w:spacing w:line="240" w:lineRule="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委托处理医疗废物</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w:t>
            </w:r>
          </w:p>
        </w:tc>
        <w:tc>
          <w:tcPr>
            <w:tcW w:w="2520" w:type="dxa"/>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与环评设计相符</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664" w:type="dxa"/>
            <w:vMerge w:val="continue"/>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3354" w:type="dxa"/>
          </w:tcPr>
          <w:p>
            <w:pPr>
              <w:pStyle w:val="7"/>
              <w:spacing w:line="240" w:lineRule="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环卫部门清运垃圾</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3</w:t>
            </w:r>
          </w:p>
        </w:tc>
        <w:tc>
          <w:tcPr>
            <w:tcW w:w="2520" w:type="dxa"/>
            <w:vAlign w:val="center"/>
          </w:tcPr>
          <w:p>
            <w:pPr>
              <w:pStyle w:val="7"/>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环卫部门清运</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dxa"/>
            <w:vMerge w:val="continue"/>
          </w:tcPr>
          <w:p>
            <w:pPr>
              <w:pStyle w:val="7"/>
              <w:spacing w:line="240" w:lineRule="auto"/>
              <w:rPr>
                <w:rFonts w:hint="eastAsia" w:asciiTheme="minorEastAsia" w:hAnsiTheme="minorEastAsia" w:eastAsiaTheme="minorEastAsia" w:cstheme="minorEastAsia"/>
                <w:sz w:val="21"/>
                <w:szCs w:val="21"/>
                <w:vertAlign w:val="baseline"/>
                <w:lang w:val="en-US" w:eastAsia="zh-CN"/>
              </w:rPr>
            </w:pPr>
          </w:p>
        </w:tc>
        <w:tc>
          <w:tcPr>
            <w:tcW w:w="664"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事故应急</w:t>
            </w:r>
          </w:p>
        </w:tc>
        <w:tc>
          <w:tcPr>
            <w:tcW w:w="3354" w:type="dxa"/>
            <w:vAlign w:val="center"/>
          </w:tcPr>
          <w:p>
            <w:pPr>
              <w:pStyle w:val="7"/>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事故应急池等配套设施</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40</w:t>
            </w:r>
          </w:p>
        </w:tc>
        <w:tc>
          <w:tcPr>
            <w:tcW w:w="2520" w:type="dxa"/>
            <w:vAlign w:val="center"/>
          </w:tcPr>
          <w:p>
            <w:pPr>
              <w:pStyle w:val="7"/>
              <w:spacing w:line="240" w:lineRule="auto"/>
              <w:ind w:left="0" w:leftChars="0"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利用暂缓建设的原污水处理池</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4" w:type="dxa"/>
            <w:gridSpan w:val="3"/>
          </w:tcPr>
          <w:p>
            <w:pPr>
              <w:pStyle w:val="7"/>
              <w:spacing w:line="240" w:lineRule="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合计</w:t>
            </w:r>
          </w:p>
        </w:tc>
        <w:tc>
          <w:tcPr>
            <w:tcW w:w="750" w:type="dxa"/>
            <w:vAlign w:val="center"/>
          </w:tcPr>
          <w:p>
            <w:pPr>
              <w:pStyle w:val="7"/>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430</w:t>
            </w:r>
          </w:p>
        </w:tc>
        <w:tc>
          <w:tcPr>
            <w:tcW w:w="2520" w:type="dxa"/>
          </w:tcPr>
          <w:p>
            <w:pPr>
              <w:pStyle w:val="7"/>
              <w:spacing w:line="240" w:lineRule="auto"/>
              <w:ind w:firstLine="1050" w:firstLineChars="500"/>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c>
          <w:tcPr>
            <w:tcW w:w="1091" w:type="dxa"/>
            <w:vAlign w:val="center"/>
          </w:tcPr>
          <w:p>
            <w:pPr>
              <w:pStyle w:val="7"/>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115</w:t>
            </w:r>
          </w:p>
        </w:tc>
      </w:tr>
    </w:tbl>
    <w:p>
      <w:pPr>
        <w:pStyle w:val="7"/>
        <w:spacing w:line="360" w:lineRule="auto"/>
        <w:ind w:left="0" w:leftChars="0" w:firstLine="0" w:firstLineChars="0"/>
        <w:outlineLvl w:val="0"/>
        <w:rPr>
          <w:rFonts w:hint="eastAsia" w:asciiTheme="minorEastAsia" w:hAnsiTheme="minorEastAsia" w:eastAsiaTheme="minorEastAsia" w:cstheme="minorEastAsia"/>
          <w:b w:val="0"/>
          <w:bCs w:val="0"/>
          <w:sz w:val="24"/>
          <w:szCs w:val="24"/>
          <w:vertAlign w:val="baseline"/>
          <w:lang w:val="en-US" w:eastAsia="zh-CN"/>
        </w:rPr>
      </w:pPr>
      <w:bookmarkStart w:id="99" w:name="_Toc25835"/>
      <w:bookmarkStart w:id="100" w:name="_Toc29262"/>
      <w:bookmarkStart w:id="101" w:name="_Toc14626"/>
      <w:r>
        <w:rPr>
          <w:rFonts w:hint="eastAsia" w:ascii="宋体" w:hAnsi="宋体" w:eastAsia="宋体" w:cs="宋体"/>
          <w:b w:val="0"/>
          <w:bCs w:val="0"/>
          <w:sz w:val="24"/>
          <w:szCs w:val="24"/>
          <w:vertAlign w:val="baseline"/>
          <w:lang w:val="en-US" w:eastAsia="zh-CN"/>
        </w:rPr>
        <w:t>⑵</w:t>
      </w:r>
      <w:r>
        <w:rPr>
          <w:rFonts w:hint="eastAsia" w:asciiTheme="minorEastAsia" w:hAnsiTheme="minorEastAsia" w:eastAsiaTheme="minorEastAsia" w:cstheme="minorEastAsia"/>
          <w:b w:val="0"/>
          <w:bCs w:val="0"/>
          <w:sz w:val="24"/>
          <w:szCs w:val="24"/>
          <w:vertAlign w:val="baseline"/>
          <w:lang w:val="en-US" w:eastAsia="zh-CN"/>
        </w:rPr>
        <w:t xml:space="preserve"> 环保“三同时”落实情况</w:t>
      </w:r>
      <w:bookmarkEnd w:id="99"/>
      <w:bookmarkEnd w:id="100"/>
      <w:bookmarkEnd w:id="101"/>
    </w:p>
    <w:p>
      <w:pPr>
        <w:pStyle w:val="9"/>
        <w:rPr>
          <w:rFonts w:hint="eastAsia" w:asciiTheme="minorEastAsia" w:hAnsiTheme="minorEastAsia" w:eastAsiaTheme="minorEastAsia" w:cstheme="minorEastAsia"/>
          <w:sz w:val="24"/>
          <w:szCs w:val="24"/>
          <w:vertAlign w:val="baseline"/>
          <w:lang w:val="en-US" w:eastAsia="zh-CN"/>
        </w:rPr>
        <w:sectPr>
          <w:footerReference r:id="rId7" w:type="default"/>
          <w:pgSz w:w="11906" w:h="16838"/>
          <w:pgMar w:top="1440" w:right="1800" w:bottom="1440" w:left="1800" w:header="964" w:footer="1134" w:gutter="0"/>
          <w:pgNumType w:fmt="decimal" w:start="1"/>
          <w:cols w:space="720" w:num="1"/>
          <w:docGrid w:type="lines" w:linePitch="326" w:charSpace="0"/>
        </w:sectPr>
      </w:pPr>
      <w:r>
        <w:rPr>
          <w:rFonts w:hint="eastAsia" w:asciiTheme="minorEastAsia" w:hAnsiTheme="minorEastAsia" w:eastAsiaTheme="minorEastAsia" w:cstheme="minorEastAsia"/>
          <w:sz w:val="24"/>
          <w:szCs w:val="24"/>
          <w:vertAlign w:val="baseline"/>
          <w:lang w:val="en-US" w:eastAsia="zh-CN"/>
        </w:rPr>
        <w:t>对照《</w:t>
      </w:r>
      <w:r>
        <w:rPr>
          <w:rFonts w:hint="eastAsia" w:asciiTheme="minorEastAsia" w:hAnsiTheme="minorEastAsia" w:eastAsiaTheme="minorEastAsia"/>
          <w:sz w:val="24"/>
          <w:szCs w:val="24"/>
          <w:lang w:eastAsia="zh-CN"/>
        </w:rPr>
        <w:t>浙江铭泽农牧发展有限公司衢江区铭泽公司肉牛养殖项目环境影响报告书</w:t>
      </w:r>
      <w:r>
        <w:rPr>
          <w:rFonts w:hint="eastAsia" w:asciiTheme="minorEastAsia" w:hAnsiTheme="minorEastAsia" w:eastAsiaTheme="minorEastAsia" w:cstheme="minorEastAsia"/>
          <w:sz w:val="24"/>
          <w:szCs w:val="24"/>
          <w:vertAlign w:val="baseline"/>
          <w:lang w:val="en-US" w:eastAsia="zh-CN"/>
        </w:rPr>
        <w:t>》</w:t>
      </w:r>
      <w:r>
        <w:rPr>
          <w:rFonts w:hint="eastAsia" w:asciiTheme="minorEastAsia" w:hAnsiTheme="minorEastAsia" w:eastAsiaTheme="minorEastAsia" w:cstheme="minorEastAsia"/>
          <w:lang w:val="en-US" w:eastAsia="zh-CN"/>
        </w:rPr>
        <w:t>以及生态环境主管部门的批文要求</w:t>
      </w:r>
      <w:r>
        <w:rPr>
          <w:rFonts w:hint="eastAsia" w:asciiTheme="minorEastAsia" w:hAnsiTheme="minorEastAsia" w:eastAsiaTheme="minorEastAsia" w:cstheme="minorEastAsia"/>
          <w:sz w:val="24"/>
          <w:szCs w:val="24"/>
          <w:vertAlign w:val="baseline"/>
          <w:lang w:val="en-US" w:eastAsia="zh-CN"/>
        </w:rPr>
        <w:t>，对本项目</w:t>
      </w:r>
      <w:r>
        <w:rPr>
          <w:rFonts w:hint="eastAsia" w:asciiTheme="minorEastAsia" w:hAnsiTheme="minorEastAsia" w:eastAsiaTheme="minorEastAsia" w:cstheme="minorEastAsia"/>
          <w:lang w:val="en-US" w:eastAsia="zh-CN"/>
        </w:rPr>
        <w:t>一期工程</w:t>
      </w:r>
      <w:r>
        <w:rPr>
          <w:rFonts w:hint="eastAsia" w:asciiTheme="minorEastAsia" w:hAnsiTheme="minorEastAsia" w:eastAsiaTheme="minorEastAsia" w:cstheme="minorEastAsia"/>
          <w:sz w:val="24"/>
          <w:szCs w:val="24"/>
          <w:vertAlign w:val="baseline"/>
          <w:lang w:val="en-US" w:eastAsia="zh-CN"/>
        </w:rPr>
        <w:t>采取的环境保护措施和项目完成后落实的环境保护措施进行现场核实，环评要求及实际完成情况对照落实情况见表。</w:t>
      </w:r>
    </w:p>
    <w:p>
      <w:pPr>
        <w:ind w:firstLine="4560" w:firstLineChars="19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表3.9-2  本项目环保措施落实情况</w:t>
      </w:r>
    </w:p>
    <w:tbl>
      <w:tblPr>
        <w:tblStyle w:val="24"/>
        <w:tblW w:w="142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1515"/>
        <w:gridCol w:w="6067"/>
        <w:gridCol w:w="4688"/>
        <w:gridCol w:w="1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Align w:val="center"/>
          </w:tcPr>
          <w:p>
            <w:pPr>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项目</w:t>
            </w:r>
          </w:p>
        </w:tc>
        <w:tc>
          <w:tcPr>
            <w:tcW w:w="1515" w:type="dxa"/>
            <w:vAlign w:val="center"/>
          </w:tcPr>
          <w:p>
            <w:p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污染源</w:t>
            </w:r>
          </w:p>
        </w:tc>
        <w:tc>
          <w:tcPr>
            <w:tcW w:w="6067" w:type="dxa"/>
            <w:vAlign w:val="center"/>
          </w:tcPr>
          <w:p>
            <w:p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环评中污染治理措施</w:t>
            </w:r>
          </w:p>
        </w:tc>
        <w:tc>
          <w:tcPr>
            <w:tcW w:w="4688" w:type="dxa"/>
            <w:vAlign w:val="center"/>
          </w:tcPr>
          <w:p>
            <w:p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项目一期建设内容</w:t>
            </w:r>
          </w:p>
        </w:tc>
        <w:tc>
          <w:tcPr>
            <w:tcW w:w="1222" w:type="dxa"/>
          </w:tcPr>
          <w:p>
            <w:pPr>
              <w:ind w:left="0" w:leftChars="0" w:firstLine="0" w:firstLineChars="0"/>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Merge w:val="restart"/>
            <w:vAlign w:val="center"/>
          </w:tcPr>
          <w:p>
            <w:pPr>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废气</w:t>
            </w:r>
          </w:p>
        </w:tc>
        <w:tc>
          <w:tcPr>
            <w:tcW w:w="1515" w:type="dxa"/>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饲料加工粉尘</w:t>
            </w:r>
          </w:p>
        </w:tc>
        <w:tc>
          <w:tcPr>
            <w:tcW w:w="6067" w:type="dxa"/>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上方集气罩+整体集气+布袋除尘+15m 高排气筒排放</w:t>
            </w:r>
          </w:p>
        </w:tc>
        <w:tc>
          <w:tcPr>
            <w:tcW w:w="4688" w:type="dxa"/>
            <w:vAlign w:val="center"/>
          </w:tcPr>
          <w:p>
            <w:pPr>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按环评设计已建设</w:t>
            </w:r>
          </w:p>
        </w:tc>
        <w:tc>
          <w:tcPr>
            <w:tcW w:w="1222" w:type="dxa"/>
            <w:vAlign w:val="center"/>
          </w:tcPr>
          <w:p>
            <w:pPr>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Merge w:val="continue"/>
            <w:vAlign w:val="center"/>
          </w:tcPr>
          <w:p>
            <w:pPr>
              <w:jc w:val="center"/>
              <w:rPr>
                <w:rFonts w:hint="eastAsia" w:asciiTheme="minorEastAsia" w:hAnsiTheme="minorEastAsia" w:eastAsiaTheme="minorEastAsia" w:cstheme="minorEastAsia"/>
                <w:sz w:val="21"/>
                <w:szCs w:val="21"/>
                <w:vertAlign w:val="baseline"/>
                <w:lang w:eastAsia="zh-CN"/>
              </w:rPr>
            </w:pPr>
          </w:p>
        </w:tc>
        <w:tc>
          <w:tcPr>
            <w:tcW w:w="1515"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栏舍臭气</w:t>
            </w: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通过控制饲养密度、使用饲料添加 剂，项目栏舍拟采用干清粪工艺，同 时加强舍内通风、及时清粪、喷洒除 臭剂、栏舍周围设绿化隔离带等措 施，可大幅减少栏舍恶臭气体的排放</w:t>
            </w:r>
          </w:p>
        </w:tc>
        <w:tc>
          <w:tcPr>
            <w:tcW w:w="4688" w:type="dxa"/>
            <w:vAlign w:val="center"/>
          </w:tcPr>
          <w:p>
            <w:pPr>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按环评的治理措施已实施</w:t>
            </w:r>
          </w:p>
        </w:tc>
        <w:tc>
          <w:tcPr>
            <w:tcW w:w="1222" w:type="dxa"/>
            <w:vAlign w:val="center"/>
          </w:tcPr>
          <w:p>
            <w:pPr>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Merge w:val="continue"/>
            <w:vAlign w:val="center"/>
          </w:tcPr>
          <w:p>
            <w:pPr>
              <w:jc w:val="center"/>
              <w:rPr>
                <w:rFonts w:hint="eastAsia" w:asciiTheme="minorEastAsia" w:hAnsiTheme="minorEastAsia" w:eastAsiaTheme="minorEastAsia" w:cstheme="minorEastAsia"/>
                <w:sz w:val="21"/>
                <w:szCs w:val="21"/>
                <w:vertAlign w:val="baseline"/>
                <w:lang w:eastAsia="zh-CN"/>
              </w:rPr>
            </w:pPr>
          </w:p>
        </w:tc>
        <w:tc>
          <w:tcPr>
            <w:tcW w:w="1515" w:type="dxa"/>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集粪间 臭气</w:t>
            </w: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集粪间臭气经塑料薄膜遮盖+每天喷雾 一次 500 倍稀释的除臭剂，加强通 风， 加强绿化</w:t>
            </w:r>
          </w:p>
        </w:tc>
        <w:tc>
          <w:tcPr>
            <w:tcW w:w="4688" w:type="dxa"/>
            <w:vAlign w:val="center"/>
          </w:tcPr>
          <w:p>
            <w:pPr>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企业建有</w:t>
            </w:r>
            <w:r>
              <w:rPr>
                <w:rFonts w:hint="default" w:asciiTheme="minorEastAsia" w:hAnsiTheme="minorEastAsia" w:eastAsiaTheme="minorEastAsia" w:cstheme="minorEastAsia"/>
                <w:sz w:val="21"/>
                <w:szCs w:val="21"/>
                <w:vertAlign w:val="baseline"/>
                <w:lang w:eastAsia="zh-CN"/>
              </w:rPr>
              <w:t>1000</w:t>
            </w:r>
            <w:r>
              <w:rPr>
                <w:rFonts w:hint="eastAsia" w:asciiTheme="minorEastAsia" w:hAnsiTheme="minorEastAsia" w:eastAsiaTheme="minorEastAsia" w:cstheme="minorEastAsia"/>
                <w:sz w:val="21"/>
                <w:szCs w:val="21"/>
                <w:vertAlign w:val="baseline"/>
                <w:lang w:val="en-US" w:eastAsia="zh-CN"/>
              </w:rPr>
              <w:t xml:space="preserve">  m</w:t>
            </w:r>
            <w:r>
              <w:rPr>
                <w:rFonts w:hint="eastAsia" w:asciiTheme="minorEastAsia" w:hAnsiTheme="minorEastAsia" w:eastAsiaTheme="minorEastAsia" w:cstheme="minorEastAsia"/>
                <w:sz w:val="21"/>
                <w:szCs w:val="21"/>
                <w:vertAlign w:val="superscript"/>
                <w:lang w:val="en-US" w:eastAsia="zh-CN"/>
              </w:rPr>
              <w:t>2</w:t>
            </w:r>
            <w:r>
              <w:rPr>
                <w:rFonts w:hint="eastAsia" w:asciiTheme="minorEastAsia" w:hAnsiTheme="minorEastAsia" w:eastAsiaTheme="minorEastAsia" w:cstheme="minorEastAsia"/>
                <w:sz w:val="21"/>
                <w:szCs w:val="21"/>
                <w:vertAlign w:val="baseline"/>
                <w:lang w:val="en-US" w:eastAsia="zh-CN"/>
              </w:rPr>
              <w:t>的集粪间，按环评设计要求进行了集粪间臭气的治理。</w:t>
            </w:r>
          </w:p>
        </w:tc>
        <w:tc>
          <w:tcPr>
            <w:tcW w:w="1222" w:type="dxa"/>
            <w:vAlign w:val="center"/>
          </w:tcPr>
          <w:p>
            <w:pPr>
              <w:ind w:left="0" w:leftChars="0" w:firstLine="210" w:firstLineChars="100"/>
              <w:jc w:val="both"/>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Merge w:val="continue"/>
            <w:vAlign w:val="center"/>
          </w:tcPr>
          <w:p>
            <w:pPr>
              <w:jc w:val="center"/>
              <w:rPr>
                <w:rFonts w:hint="eastAsia" w:asciiTheme="minorEastAsia" w:hAnsiTheme="minorEastAsia" w:eastAsiaTheme="minorEastAsia" w:cstheme="minorEastAsia"/>
                <w:sz w:val="21"/>
                <w:szCs w:val="21"/>
                <w:vertAlign w:val="baseline"/>
                <w:lang w:eastAsia="zh-CN"/>
              </w:rPr>
            </w:pPr>
          </w:p>
        </w:tc>
        <w:tc>
          <w:tcPr>
            <w:tcW w:w="1515" w:type="dxa"/>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好氧发酵罐</w:t>
            </w:r>
          </w:p>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臭气</w:t>
            </w: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废气经收集后采用配套除臭剂喷淋塔 处理后通过 15m 排气筒高空排放</w:t>
            </w:r>
          </w:p>
        </w:tc>
        <w:tc>
          <w:tcPr>
            <w:tcW w:w="4688" w:type="dxa"/>
            <w:vAlign w:val="center"/>
          </w:tcPr>
          <w:p>
            <w:pPr>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有机肥基料的生产工艺变更，不再进行有机肥基料的生产，故无废气排放。</w:t>
            </w:r>
          </w:p>
        </w:tc>
        <w:tc>
          <w:tcPr>
            <w:tcW w:w="1222" w:type="dxa"/>
            <w:vAlign w:val="center"/>
          </w:tcPr>
          <w:p>
            <w:pPr>
              <w:spacing w:line="240" w:lineRule="auto"/>
              <w:ind w:left="0" w:leftChars="0" w:firstLine="0" w:firstLineChars="0"/>
              <w:jc w:val="both"/>
              <w:rPr>
                <w:rFonts w:hint="default"/>
                <w:lang w:val="en-US" w:eastAsia="zh-CN"/>
              </w:rPr>
            </w:pPr>
            <w:r>
              <w:rPr>
                <w:rFonts w:hint="eastAsia" w:asciiTheme="minorEastAsia" w:hAnsiTheme="minorEastAsia" w:eastAsiaTheme="minorEastAsia" w:cstheme="minorEastAsia"/>
                <w:sz w:val="21"/>
                <w:szCs w:val="21"/>
                <w:lang w:val="en-US" w:eastAsia="zh-CN"/>
              </w:rPr>
              <w:t>项目变更，</w:t>
            </w:r>
            <w:r>
              <w:rPr>
                <w:rFonts w:hint="eastAsia" w:asciiTheme="minorEastAsia" w:hAnsiTheme="minorEastAsia" w:eastAsiaTheme="minorEastAsia" w:cstheme="minorEastAsia"/>
                <w:sz w:val="21"/>
                <w:szCs w:val="21"/>
                <w:vertAlign w:val="baseline"/>
                <w:lang w:val="en-US" w:eastAsia="zh-CN"/>
              </w:rPr>
              <w:t>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Merge w:val="continue"/>
            <w:vAlign w:val="center"/>
          </w:tcPr>
          <w:p>
            <w:pPr>
              <w:jc w:val="center"/>
              <w:rPr>
                <w:rFonts w:hint="eastAsia" w:asciiTheme="minorEastAsia" w:hAnsiTheme="minorEastAsia" w:eastAsiaTheme="minorEastAsia" w:cstheme="minorEastAsia"/>
                <w:sz w:val="21"/>
                <w:szCs w:val="21"/>
                <w:vertAlign w:val="baseline"/>
                <w:lang w:eastAsia="zh-CN"/>
              </w:rPr>
            </w:pPr>
          </w:p>
        </w:tc>
        <w:tc>
          <w:tcPr>
            <w:tcW w:w="1515" w:type="dxa"/>
            <w:vAlign w:val="center"/>
          </w:tcPr>
          <w:p>
            <w:pPr>
              <w:keepNext w:val="0"/>
              <w:keepLines w:val="0"/>
              <w:widowControl/>
              <w:suppressLineNumbers w:val="0"/>
              <w:ind w:left="0" w:leftChars="0" w:firstLine="0" w:firstLineChars="0"/>
              <w:jc w:val="center"/>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污水处理站</w:t>
            </w:r>
          </w:p>
          <w:p>
            <w:pPr>
              <w:keepNext w:val="0"/>
              <w:keepLines w:val="0"/>
              <w:widowControl/>
              <w:suppressLineNumbers w:val="0"/>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废气</w:t>
            </w: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沼气池采用无水式覆膜工艺进行封 闭；对集水池、预沉池、污泥浓缩池 等单元设置密闭集气，臭气通过引风机经除臭喷淋系统处理后通过 15m 排 气筒排放</w:t>
            </w:r>
          </w:p>
        </w:tc>
        <w:tc>
          <w:tcPr>
            <w:tcW w:w="4688" w:type="dxa"/>
            <w:vAlign w:val="center"/>
          </w:tcPr>
          <w:p>
            <w:pPr>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b w:val="0"/>
                <w:bCs w:val="0"/>
                <w:color w:val="000000"/>
                <w:kern w:val="0"/>
                <w:sz w:val="21"/>
                <w:szCs w:val="21"/>
                <w:lang w:val="en-US" w:eastAsia="zh-CN" w:bidi="ar"/>
              </w:rPr>
              <w:t>企业采用干清粪的养殖工艺，饲养过程少量的养殖废水混于牛粪和饲料残渣中一并委托浙江一海新能源有限公司作无害化处置，企业无废水排放，故整个污水处理的尾气收集设施暂缓建设。</w:t>
            </w:r>
          </w:p>
        </w:tc>
        <w:tc>
          <w:tcPr>
            <w:tcW w:w="1222" w:type="dxa"/>
            <w:vAlign w:val="center"/>
          </w:tcPr>
          <w:p>
            <w:pPr>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lang w:val="en-US" w:eastAsia="zh-CN"/>
              </w:rPr>
              <w:t>项目变更，未建设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Merge w:val="continue"/>
            <w:vAlign w:val="center"/>
          </w:tcPr>
          <w:p>
            <w:pPr>
              <w:jc w:val="center"/>
              <w:rPr>
                <w:rFonts w:hint="eastAsia" w:asciiTheme="minorEastAsia" w:hAnsiTheme="minorEastAsia" w:eastAsiaTheme="minorEastAsia" w:cstheme="minorEastAsia"/>
                <w:sz w:val="21"/>
                <w:szCs w:val="21"/>
                <w:vertAlign w:val="baseline"/>
                <w:lang w:eastAsia="zh-CN"/>
              </w:rPr>
            </w:pPr>
          </w:p>
        </w:tc>
        <w:tc>
          <w:tcPr>
            <w:tcW w:w="151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沼气火炬</w:t>
            </w:r>
          </w:p>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燃烧废气</w:t>
            </w: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沼气经火炬燃烧产生的废气通过 3m 高 排气筒排放</w:t>
            </w:r>
          </w:p>
        </w:tc>
        <w:tc>
          <w:tcPr>
            <w:tcW w:w="4688" w:type="dxa"/>
            <w:vAlign w:val="center"/>
          </w:tcPr>
          <w:p>
            <w:pPr>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b w:val="0"/>
                <w:bCs w:val="0"/>
                <w:color w:val="000000"/>
                <w:kern w:val="0"/>
                <w:sz w:val="21"/>
                <w:szCs w:val="21"/>
                <w:lang w:val="en-US" w:eastAsia="zh-CN" w:bidi="ar"/>
              </w:rPr>
              <w:t>因无废水排放，原设计配套100m</w:t>
            </w:r>
            <w:r>
              <w:rPr>
                <w:rFonts w:hint="eastAsia" w:asciiTheme="minorEastAsia" w:hAnsiTheme="minorEastAsia" w:eastAsiaTheme="minorEastAsia" w:cstheme="minorEastAsia"/>
                <w:b w:val="0"/>
                <w:bCs w:val="0"/>
                <w:color w:val="000000"/>
                <w:kern w:val="0"/>
                <w:sz w:val="21"/>
                <w:szCs w:val="21"/>
                <w:vertAlign w:val="superscript"/>
                <w:lang w:val="en-US" w:eastAsia="zh-CN" w:bidi="ar"/>
              </w:rPr>
              <w:t>3</w:t>
            </w:r>
            <w:r>
              <w:rPr>
                <w:rFonts w:hint="eastAsia" w:asciiTheme="minorEastAsia" w:hAnsiTheme="minorEastAsia" w:eastAsiaTheme="minorEastAsia" w:cstheme="minorEastAsia"/>
                <w:b w:val="0"/>
                <w:bCs w:val="0"/>
                <w:color w:val="000000"/>
                <w:kern w:val="0"/>
                <w:sz w:val="21"/>
                <w:szCs w:val="21"/>
                <w:lang w:val="en-US" w:eastAsia="zh-CN" w:bidi="ar"/>
              </w:rPr>
              <w:t>/d的污水处理设施暂缓建设 ，故无沼气的产生。</w:t>
            </w:r>
          </w:p>
        </w:tc>
        <w:tc>
          <w:tcPr>
            <w:tcW w:w="1222" w:type="dxa"/>
            <w:vAlign w:val="center"/>
          </w:tcPr>
          <w:p>
            <w:pPr>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lang w:val="en-US" w:eastAsia="zh-CN"/>
              </w:rPr>
              <w:t>项目变更，未建设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Merge w:val="continue"/>
            <w:vAlign w:val="center"/>
          </w:tcPr>
          <w:p>
            <w:pPr>
              <w:jc w:val="center"/>
              <w:rPr>
                <w:rFonts w:hint="eastAsia" w:asciiTheme="minorEastAsia" w:hAnsiTheme="minorEastAsia" w:eastAsiaTheme="minorEastAsia" w:cstheme="minorEastAsia"/>
                <w:sz w:val="21"/>
                <w:szCs w:val="21"/>
                <w:vertAlign w:val="baseline"/>
                <w:lang w:eastAsia="zh-CN"/>
              </w:rPr>
            </w:pPr>
          </w:p>
        </w:tc>
        <w:tc>
          <w:tcPr>
            <w:tcW w:w="1515" w:type="dxa"/>
            <w:vAlign w:val="center"/>
          </w:tcPr>
          <w:p>
            <w:pPr>
              <w:keepNext w:val="0"/>
              <w:keepLines w:val="0"/>
              <w:widowControl/>
              <w:suppressLineNumbers w:val="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食堂油烟</w:t>
            </w: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油烟净化器处理后通过内壁式烟道通至楼顶排放，处理效率 60%</w:t>
            </w:r>
          </w:p>
        </w:tc>
        <w:tc>
          <w:tcPr>
            <w:tcW w:w="4688" w:type="dxa"/>
            <w:vAlign w:val="center"/>
          </w:tcPr>
          <w:p>
            <w:pPr>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项目一期，因人员较少，生活后勤设施暂未建设</w:t>
            </w:r>
          </w:p>
        </w:tc>
        <w:tc>
          <w:tcPr>
            <w:tcW w:w="1222" w:type="dxa"/>
            <w:vAlign w:val="center"/>
          </w:tcPr>
          <w:p>
            <w:pPr>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Align w:val="center"/>
          </w:tcPr>
          <w:p>
            <w:p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废水</w:t>
            </w:r>
          </w:p>
        </w:tc>
        <w:tc>
          <w:tcPr>
            <w:tcW w:w="1515"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养殖废水、初期雨水、生 活污水</w:t>
            </w: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采用雨、污分流制；养殖废水、初期雨水和生活污水经预处理+厌氧发酵+生化处理后林地、田地灌溉；设置事故应急储存80m3，位于粪污治理区中部；加强管理，避免事故排放。</w:t>
            </w:r>
          </w:p>
        </w:tc>
        <w:tc>
          <w:tcPr>
            <w:tcW w:w="4688" w:type="dxa"/>
            <w:vAlign w:val="center"/>
          </w:tcPr>
          <w:p>
            <w:pPr>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企业饲养过程中产生的少量养殖废水混于牛粪和少量残渣中委托外单位处置，</w:t>
            </w:r>
            <w:r>
              <w:rPr>
                <w:rFonts w:hint="eastAsia" w:asciiTheme="minorEastAsia" w:hAnsiTheme="minorEastAsia" w:eastAsiaTheme="minorEastAsia" w:cstheme="minorEastAsia"/>
                <w:color w:val="000000"/>
                <w:kern w:val="0"/>
                <w:sz w:val="21"/>
                <w:szCs w:val="21"/>
                <w:lang w:val="en-US" w:eastAsia="zh-CN" w:bidi="ar"/>
              </w:rPr>
              <w:t>初期雨水和生活污水经预处理+生化处理后用于林地、田地灌溉；原有的污水收集池现变更为初期雨水</w:t>
            </w:r>
            <w:r>
              <w:rPr>
                <w:rFonts w:hint="eastAsia" w:ascii="宋体" w:hAnsi="宋体" w:eastAsia="宋体" w:cs="宋体"/>
                <w:color w:val="000000"/>
                <w:kern w:val="0"/>
                <w:sz w:val="21"/>
                <w:szCs w:val="21"/>
                <w:lang w:val="en-US" w:eastAsia="zh-CN" w:bidi="ar"/>
              </w:rPr>
              <w:t>＋</w:t>
            </w:r>
            <w:r>
              <w:rPr>
                <w:rFonts w:hint="eastAsia" w:asciiTheme="minorEastAsia" w:hAnsiTheme="minorEastAsia" w:eastAsiaTheme="minorEastAsia" w:cstheme="minorEastAsia"/>
                <w:color w:val="000000"/>
                <w:kern w:val="0"/>
                <w:sz w:val="21"/>
                <w:szCs w:val="21"/>
                <w:lang w:val="en-US" w:eastAsia="zh-CN" w:bidi="ar"/>
              </w:rPr>
              <w:t>事故应急池。</w:t>
            </w:r>
          </w:p>
        </w:tc>
        <w:tc>
          <w:tcPr>
            <w:tcW w:w="1222" w:type="dxa"/>
            <w:vAlign w:val="center"/>
          </w:tcPr>
          <w:p>
            <w:p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sz w:val="21"/>
                <w:szCs w:val="21"/>
                <w:vertAlign w:val="baseline"/>
                <w:lang w:val="en-US" w:eastAsia="zh-CN"/>
              </w:rPr>
              <w:t>基本落实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Merge w:val="restart"/>
            <w:vAlign w:val="center"/>
          </w:tcPr>
          <w:p>
            <w:p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固废</w:t>
            </w:r>
          </w:p>
        </w:tc>
        <w:tc>
          <w:tcPr>
            <w:tcW w:w="1515" w:type="dxa"/>
            <w:vAlign w:val="center"/>
          </w:tcPr>
          <w:p>
            <w:pPr>
              <w:keepNext w:val="0"/>
              <w:keepLines w:val="0"/>
              <w:widowControl/>
              <w:suppressLineNumbers w:val="0"/>
              <w:spacing w:line="240" w:lineRule="auto"/>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一般固废</w:t>
            </w: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项目产生的一般废物中一般包装材料、废塑料膜等外售回收综合利用；废脱硫剂厂家回收；牛粪、粪渣/沼渣、饲料残渣及杂质、废处理污泥等厂区内经好氧发酵罐堆肥制作有机肥基料后外售；</w:t>
            </w:r>
          </w:p>
        </w:tc>
        <w:tc>
          <w:tcPr>
            <w:tcW w:w="4688" w:type="dxa"/>
            <w:vAlign w:val="center"/>
          </w:tcPr>
          <w:p>
            <w:pPr>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项目一般固废：如</w:t>
            </w:r>
            <w:r>
              <w:rPr>
                <w:rFonts w:hint="eastAsia" w:asciiTheme="minorEastAsia" w:hAnsiTheme="minorEastAsia" w:eastAsiaTheme="minorEastAsia" w:cstheme="minorEastAsia"/>
                <w:color w:val="000000"/>
                <w:kern w:val="0"/>
                <w:sz w:val="21"/>
                <w:szCs w:val="21"/>
                <w:lang w:val="en-US" w:eastAsia="zh-CN" w:bidi="ar"/>
              </w:rPr>
              <w:t>包装材料、废塑料膜等外售回收利用；牛粪、粪渣/饲料残渣及杂质等收集后委托</w:t>
            </w:r>
            <w:r>
              <w:rPr>
                <w:rFonts w:hint="eastAsia" w:asciiTheme="minorEastAsia" w:hAnsiTheme="minorEastAsia" w:eastAsiaTheme="minorEastAsia" w:cstheme="minorEastAsia"/>
                <w:b w:val="0"/>
                <w:bCs w:val="0"/>
                <w:color w:val="000000"/>
                <w:kern w:val="0"/>
                <w:sz w:val="21"/>
                <w:szCs w:val="21"/>
                <w:lang w:val="en-US" w:eastAsia="zh-CN" w:bidi="ar"/>
              </w:rPr>
              <w:t>浙江一海新能源有限公司进行无害化处理。</w:t>
            </w:r>
          </w:p>
        </w:tc>
        <w:tc>
          <w:tcPr>
            <w:tcW w:w="1222" w:type="dxa"/>
            <w:vAlign w:val="center"/>
          </w:tcPr>
          <w:p>
            <w:pPr>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基本落实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Merge w:val="continue"/>
            <w:vAlign w:val="center"/>
          </w:tcPr>
          <w:p>
            <w:pPr>
              <w:spacing w:line="240" w:lineRule="auto"/>
              <w:jc w:val="center"/>
              <w:rPr>
                <w:rFonts w:hint="eastAsia" w:asciiTheme="minorEastAsia" w:hAnsiTheme="minorEastAsia" w:eastAsiaTheme="minorEastAsia" w:cstheme="minorEastAsia"/>
                <w:sz w:val="21"/>
                <w:szCs w:val="21"/>
                <w:vertAlign w:val="baseline"/>
                <w:lang w:eastAsia="zh-CN"/>
              </w:rPr>
            </w:pPr>
          </w:p>
        </w:tc>
        <w:tc>
          <w:tcPr>
            <w:tcW w:w="1515" w:type="dxa"/>
            <w:vAlign w:val="center"/>
          </w:tcPr>
          <w:p>
            <w:p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危险固废</w:t>
            </w: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医疗废物、废机油机油桶、含油抹布等须委托有相应危废处理资质的单位安全处置，其转移须实行转移联单制度。</w:t>
            </w:r>
          </w:p>
        </w:tc>
        <w:tc>
          <w:tcPr>
            <w:tcW w:w="4688" w:type="dxa"/>
            <w:vAlign w:val="center"/>
          </w:tcPr>
          <w:p>
            <w:pPr>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企业设有危废暂存间，目前因产生量较少，故暂时存放，待存一定数量后委托有质资单位处置。</w:t>
            </w:r>
          </w:p>
        </w:tc>
        <w:tc>
          <w:tcPr>
            <w:tcW w:w="1222" w:type="dxa"/>
            <w:vAlign w:val="center"/>
          </w:tcPr>
          <w:p>
            <w:pPr>
              <w:spacing w:line="240" w:lineRule="auto"/>
              <w:ind w:left="0" w:leftChars="0" w:firstLine="0" w:firstLineChars="0"/>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基本落实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Merge w:val="continue"/>
            <w:vAlign w:val="center"/>
          </w:tcPr>
          <w:p>
            <w:pPr>
              <w:spacing w:line="240" w:lineRule="auto"/>
              <w:jc w:val="center"/>
              <w:rPr>
                <w:rFonts w:hint="eastAsia" w:asciiTheme="minorEastAsia" w:hAnsiTheme="minorEastAsia" w:eastAsiaTheme="minorEastAsia" w:cstheme="minorEastAsia"/>
                <w:sz w:val="21"/>
                <w:szCs w:val="21"/>
                <w:vertAlign w:val="baseline"/>
                <w:lang w:eastAsia="zh-CN"/>
              </w:rPr>
            </w:pPr>
          </w:p>
        </w:tc>
        <w:tc>
          <w:tcPr>
            <w:tcW w:w="1515" w:type="dxa"/>
            <w:vAlign w:val="center"/>
          </w:tcPr>
          <w:p>
            <w:p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病死牛</w:t>
            </w: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病死牛于场区冷藏库暂存后一并委托衢州市衢江区泰华动物无害化处理厂统一处理</w:t>
            </w:r>
          </w:p>
        </w:tc>
        <w:tc>
          <w:tcPr>
            <w:tcW w:w="4688" w:type="dxa"/>
            <w:vAlign w:val="center"/>
          </w:tcPr>
          <w:p>
            <w:pPr>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按有关规定委托</w:t>
            </w:r>
            <w:r>
              <w:rPr>
                <w:rFonts w:hint="eastAsia" w:asciiTheme="minorEastAsia" w:hAnsiTheme="minorEastAsia" w:eastAsiaTheme="minorEastAsia" w:cstheme="minorEastAsia"/>
                <w:color w:val="000000"/>
                <w:kern w:val="0"/>
                <w:sz w:val="21"/>
                <w:szCs w:val="21"/>
                <w:lang w:val="en-US" w:eastAsia="zh-CN" w:bidi="ar"/>
              </w:rPr>
              <w:t>衢江区泰华动物无害化处理厂统一处理</w:t>
            </w:r>
          </w:p>
        </w:tc>
        <w:tc>
          <w:tcPr>
            <w:tcW w:w="1222" w:type="dxa"/>
            <w:vAlign w:val="center"/>
          </w:tcPr>
          <w:p>
            <w:p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Merge w:val="continue"/>
            <w:vAlign w:val="center"/>
          </w:tcPr>
          <w:p>
            <w:pPr>
              <w:spacing w:line="240" w:lineRule="auto"/>
              <w:jc w:val="center"/>
              <w:rPr>
                <w:rFonts w:hint="eastAsia" w:asciiTheme="minorEastAsia" w:hAnsiTheme="minorEastAsia" w:eastAsiaTheme="minorEastAsia" w:cstheme="minorEastAsia"/>
                <w:sz w:val="21"/>
                <w:szCs w:val="21"/>
                <w:vertAlign w:val="baseline"/>
                <w:lang w:eastAsia="zh-CN"/>
              </w:rPr>
            </w:pPr>
          </w:p>
        </w:tc>
        <w:tc>
          <w:tcPr>
            <w:tcW w:w="1515" w:type="dxa"/>
            <w:vAlign w:val="center"/>
          </w:tcPr>
          <w:p>
            <w:p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生活垃圾</w:t>
            </w: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color w:val="000000"/>
                <w:kern w:val="0"/>
                <w:sz w:val="21"/>
                <w:szCs w:val="21"/>
                <w:lang w:val="en-US" w:eastAsia="zh-CN" w:bidi="ar"/>
              </w:rPr>
              <w:t>设置垃圾收集点和集中堆放垃圾房，可回收部分回收，不可回收部分及时清运。</w:t>
            </w:r>
          </w:p>
        </w:tc>
        <w:tc>
          <w:tcPr>
            <w:tcW w:w="4688" w:type="dxa"/>
            <w:vAlign w:val="center"/>
          </w:tcPr>
          <w:p>
            <w:pPr>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按要求委托环卫部门统一清运</w:t>
            </w:r>
          </w:p>
        </w:tc>
        <w:tc>
          <w:tcPr>
            <w:tcW w:w="1222" w:type="dxa"/>
            <w:vAlign w:val="center"/>
          </w:tcPr>
          <w:p>
            <w:p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Align w:val="center"/>
          </w:tcPr>
          <w:p>
            <w:p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噪声</w:t>
            </w:r>
          </w:p>
        </w:tc>
        <w:tc>
          <w:tcPr>
            <w:tcW w:w="1515" w:type="dxa"/>
            <w:vAlign w:val="center"/>
          </w:tcPr>
          <w:p>
            <w:pPr>
              <w:keepNext w:val="0"/>
              <w:keepLines w:val="0"/>
              <w:widowControl/>
              <w:suppressLineNumbers w:val="0"/>
              <w:spacing w:line="240" w:lineRule="auto"/>
              <w:ind w:left="0" w:leftChars="0" w:firstLine="0" w:firstLineChars="0"/>
              <w:jc w:val="both"/>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 xml:space="preserve">水泵、风机 </w:t>
            </w:r>
          </w:p>
          <w:p>
            <w:pPr>
              <w:keepNext w:val="0"/>
              <w:keepLines w:val="0"/>
              <w:widowControl/>
              <w:suppressLineNumbers w:val="0"/>
              <w:spacing w:line="240" w:lineRule="auto"/>
              <w:ind w:left="0" w:leftChars="0" w:firstLine="210" w:firstLineChars="100"/>
              <w:jc w:val="both"/>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噪声</w:t>
            </w: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1、各种产噪声设备需选用环保低噪设备，并安装变频装置名同事加强设备维护工作，使之保持良好的运行状态；2、对水泵类等安装减振装置，风机安装隔声、减振装置；3、产噪设备房间墙体及门窗采用隔音吸音材料，运行过程中不允许开窗；噪声设备房间四周种植树木，达到美化环境、消音降噪的作用。</w:t>
            </w:r>
          </w:p>
        </w:tc>
        <w:tc>
          <w:tcPr>
            <w:tcW w:w="4688" w:type="dxa"/>
            <w:vAlign w:val="center"/>
          </w:tcPr>
          <w:p>
            <w:pPr>
              <w:spacing w:line="240" w:lineRule="auto"/>
              <w:ind w:left="0" w:leftChars="0" w:firstLine="0" w:firstLineChars="0"/>
              <w:jc w:val="both"/>
              <w:rPr>
                <w:rFonts w:hint="eastAsia" w:eastAsia="宋体" w:asciiTheme="minorEastAsia" w:hAnsi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按环评设计要求，企业采取了设备的减噪和降噪措施，根据厂界噪声测定，</w:t>
            </w:r>
            <w:r>
              <w:rPr>
                <w:rFonts w:hint="eastAsia" w:asciiTheme="minorEastAsia" w:hAnsiTheme="minorEastAsia" w:eastAsiaTheme="minorEastAsia" w:cstheme="minorEastAsia"/>
                <w:sz w:val="21"/>
                <w:szCs w:val="21"/>
                <w:lang w:val="en-US" w:eastAsia="zh-CN"/>
              </w:rPr>
              <w:t>企业在营运期间厂界噪声达到了</w:t>
            </w:r>
            <w:r>
              <w:rPr>
                <w:rFonts w:hint="eastAsia" w:ascii="宋体" w:hAnsi="宋体" w:eastAsia="宋体" w:cs="宋体"/>
                <w:sz w:val="21"/>
                <w:szCs w:val="21"/>
              </w:rPr>
              <w:t>《工业企业厂界环境噪声排放标准》（GB12348-2008）中的</w:t>
            </w:r>
            <w:r>
              <w:rPr>
                <w:rFonts w:hint="eastAsia" w:ascii="宋体" w:hAnsi="宋体" w:eastAsia="宋体" w:cs="宋体"/>
                <w:sz w:val="21"/>
                <w:szCs w:val="21"/>
                <w:lang w:val="en-US" w:eastAsia="zh-CN"/>
              </w:rPr>
              <w:t>1</w:t>
            </w:r>
            <w:r>
              <w:rPr>
                <w:rFonts w:hint="eastAsia" w:ascii="宋体" w:hAnsi="宋体" w:eastAsia="宋体" w:cs="宋体"/>
                <w:sz w:val="21"/>
                <w:szCs w:val="21"/>
              </w:rPr>
              <w:t>类标准</w:t>
            </w:r>
            <w:r>
              <w:rPr>
                <w:rFonts w:hint="eastAsia" w:ascii="宋体" w:hAnsi="宋体" w:eastAsia="宋体" w:cs="宋体"/>
                <w:sz w:val="21"/>
                <w:szCs w:val="21"/>
                <w:lang w:eastAsia="zh-CN"/>
              </w:rPr>
              <w:t>。</w:t>
            </w:r>
          </w:p>
        </w:tc>
        <w:tc>
          <w:tcPr>
            <w:tcW w:w="1222" w:type="dxa"/>
            <w:vAlign w:val="center"/>
          </w:tcPr>
          <w:p>
            <w:p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风险</w:t>
            </w:r>
          </w:p>
        </w:tc>
        <w:tc>
          <w:tcPr>
            <w:tcW w:w="1515" w:type="dxa"/>
            <w:vAlign w:val="center"/>
          </w:tcPr>
          <w:p>
            <w:pPr>
              <w:keepNext w:val="0"/>
              <w:keepLines w:val="0"/>
              <w:widowControl/>
              <w:suppressLineNumbers w:val="0"/>
              <w:spacing w:line="240" w:lineRule="auto"/>
              <w:ind w:left="0" w:leftChars="0"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应急措施</w:t>
            </w:r>
          </w:p>
          <w:p>
            <w:pPr>
              <w:spacing w:line="240" w:lineRule="auto"/>
              <w:jc w:val="center"/>
              <w:rPr>
                <w:rFonts w:hint="eastAsia" w:asciiTheme="minorEastAsia" w:hAnsiTheme="minorEastAsia" w:eastAsiaTheme="minorEastAsia" w:cstheme="minorEastAsia"/>
                <w:sz w:val="21"/>
                <w:szCs w:val="21"/>
                <w:vertAlign w:val="baseline"/>
                <w:lang w:eastAsia="zh-CN"/>
              </w:rPr>
            </w:pP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①加强火灾风险防范；②设事故应急池，加强废水事故性排放防范；③加强沼气泄露安全防范；④加强瘟疫卫生预防；⑤编制环境应急预案。</w:t>
            </w:r>
          </w:p>
        </w:tc>
        <w:tc>
          <w:tcPr>
            <w:tcW w:w="4688" w:type="dxa"/>
            <w:vAlign w:val="center"/>
          </w:tcPr>
          <w:p>
            <w:pPr>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企业编制有环境应急预案，设置有事故应急池，沼气设施没有建设故无沼气泄漏的安全隐患。</w:t>
            </w:r>
          </w:p>
        </w:tc>
        <w:tc>
          <w:tcPr>
            <w:tcW w:w="1222" w:type="dxa"/>
            <w:vAlign w:val="center"/>
          </w:tcPr>
          <w:p>
            <w:p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color w:val="000000"/>
                <w:kern w:val="0"/>
                <w:sz w:val="21"/>
                <w:szCs w:val="21"/>
                <w:lang w:val="en-US" w:eastAsia="zh-CN" w:bidi="ar"/>
              </w:rPr>
            </w:pPr>
            <w:r>
              <w:rPr>
                <w:rFonts w:hint="eastAsia" w:asciiTheme="minorEastAsia" w:hAnsiTheme="minorEastAsia" w:eastAsiaTheme="minorEastAsia" w:cstheme="minorEastAsia"/>
                <w:color w:val="000000"/>
                <w:kern w:val="0"/>
                <w:sz w:val="21"/>
                <w:szCs w:val="21"/>
                <w:lang w:val="en-US" w:eastAsia="zh-CN" w:bidi="ar"/>
              </w:rPr>
              <w:t>土壤</w:t>
            </w:r>
          </w:p>
        </w:tc>
        <w:tc>
          <w:tcPr>
            <w:tcW w:w="1515" w:type="dxa"/>
            <w:vAlign w:val="center"/>
          </w:tcPr>
          <w:p>
            <w:pPr>
              <w:keepNext w:val="0"/>
              <w:keepLines w:val="0"/>
              <w:widowControl/>
              <w:suppressLineNumbers w:val="0"/>
              <w:spacing w:line="240" w:lineRule="auto"/>
              <w:ind w:left="0" w:leftChars="0" w:firstLine="210" w:firstLineChars="100"/>
              <w:jc w:val="both"/>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防范措施</w:t>
            </w: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本项目需在污水处理设施、集粪间、危废仓库采取三防措施，防止和降低污染物跑、冒、滴、漏，将污染物泄漏的环境风险事故降到最低程度；项目厂区应划分为非污染区和污染区，非污染区可不进行防渗处理，污染区则应按照不同分区要求，采取不同等级的防渗措施，并确保其可靠性和有效性。</w:t>
            </w:r>
          </w:p>
        </w:tc>
        <w:tc>
          <w:tcPr>
            <w:tcW w:w="4688" w:type="dxa"/>
            <w:vAlign w:val="center"/>
          </w:tcPr>
          <w:p>
            <w:pPr>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企业生产区域的非污染区和污染区界区明确，在污染区域都采取了地面的硬化和防渗处理措施，杜绝了地面污染物</w:t>
            </w:r>
            <w:r>
              <w:rPr>
                <w:rFonts w:hint="eastAsia" w:ascii="宋体" w:hAnsi="宋体" w:eastAsia="宋体" w:cs="宋体"/>
                <w:color w:val="000000"/>
                <w:kern w:val="0"/>
                <w:sz w:val="24"/>
                <w:szCs w:val="24"/>
                <w:lang w:val="en-US" w:eastAsia="zh-CN" w:bidi="ar"/>
              </w:rPr>
              <w:t>渗漏、流失、扬散所造成对土壤和地下水的污染。</w:t>
            </w:r>
          </w:p>
        </w:tc>
        <w:tc>
          <w:tcPr>
            <w:tcW w:w="1222" w:type="dxa"/>
            <w:vAlign w:val="center"/>
          </w:tcPr>
          <w:p>
            <w:p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地下水</w:t>
            </w:r>
          </w:p>
          <w:p>
            <w:pPr>
              <w:keepNext w:val="0"/>
              <w:keepLines w:val="0"/>
              <w:widowControl/>
              <w:suppressLineNumbers w:val="0"/>
              <w:spacing w:line="240" w:lineRule="auto"/>
              <w:jc w:val="center"/>
              <w:rPr>
                <w:rFonts w:hint="eastAsia" w:asciiTheme="minorEastAsia" w:hAnsiTheme="minorEastAsia" w:eastAsiaTheme="minorEastAsia" w:cstheme="minorEastAsia"/>
                <w:color w:val="000000"/>
                <w:kern w:val="0"/>
                <w:sz w:val="21"/>
                <w:szCs w:val="21"/>
                <w:lang w:val="en-US" w:eastAsia="zh-CN" w:bidi="ar"/>
              </w:rPr>
            </w:pPr>
          </w:p>
        </w:tc>
        <w:tc>
          <w:tcPr>
            <w:tcW w:w="1515" w:type="dxa"/>
            <w:vAlign w:val="center"/>
          </w:tcPr>
          <w:p>
            <w:pPr>
              <w:keepNext w:val="0"/>
              <w:keepLines w:val="0"/>
              <w:widowControl/>
              <w:suppressLineNumbers w:val="0"/>
              <w:spacing w:line="240" w:lineRule="auto"/>
              <w:ind w:left="0" w:leftChars="0" w:firstLine="210" w:firstLineChars="1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过程防控</w:t>
            </w:r>
          </w:p>
          <w:p>
            <w:pPr>
              <w:spacing w:line="240" w:lineRule="auto"/>
              <w:jc w:val="center"/>
              <w:rPr>
                <w:rFonts w:hint="eastAsia" w:asciiTheme="minorEastAsia" w:hAnsiTheme="minorEastAsia" w:eastAsiaTheme="minorEastAsia" w:cstheme="minorEastAsia"/>
                <w:sz w:val="21"/>
                <w:szCs w:val="21"/>
                <w:vertAlign w:val="baseline"/>
                <w:lang w:eastAsia="zh-CN"/>
              </w:rPr>
            </w:pPr>
          </w:p>
        </w:tc>
        <w:tc>
          <w:tcPr>
            <w:tcW w:w="6067" w:type="dxa"/>
            <w:vAlign w:val="center"/>
          </w:tcPr>
          <w:p>
            <w:pPr>
              <w:keepNext w:val="0"/>
              <w:keepLines w:val="0"/>
              <w:widowControl/>
              <w:suppressLineNumbers w:val="0"/>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color w:val="000000"/>
                <w:kern w:val="0"/>
                <w:sz w:val="21"/>
                <w:szCs w:val="21"/>
                <w:lang w:val="en-US" w:eastAsia="zh-CN" w:bidi="ar"/>
              </w:rPr>
              <w:t>1.厂区设置围墙，并做好雨污分流。 2.厂区占地范围内、厂界应该多种植吸附能力强的植物。3.厂区地面硬化，做好地面防渗措施。</w:t>
            </w:r>
          </w:p>
        </w:tc>
        <w:tc>
          <w:tcPr>
            <w:tcW w:w="4688" w:type="dxa"/>
            <w:vAlign w:val="center"/>
          </w:tcPr>
          <w:p>
            <w:pPr>
              <w:spacing w:line="240" w:lineRule="auto"/>
              <w:ind w:left="0" w:leftChars="0" w:firstLine="0" w:firstLineChars="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厂区</w:t>
            </w:r>
            <w:r>
              <w:rPr>
                <w:rFonts w:hint="eastAsia" w:asciiTheme="minorEastAsia" w:hAnsiTheme="minorEastAsia" w:eastAsiaTheme="minorEastAsia" w:cstheme="minorEastAsia"/>
                <w:color w:val="000000"/>
                <w:kern w:val="0"/>
                <w:sz w:val="21"/>
                <w:szCs w:val="21"/>
                <w:lang w:val="en-US" w:eastAsia="zh-CN" w:bidi="ar"/>
              </w:rPr>
              <w:t>设置围墙，并进行了雨污分流的工作，厂区地面基本都进行了硬化，采取了防渗措施。</w:t>
            </w:r>
          </w:p>
        </w:tc>
        <w:tc>
          <w:tcPr>
            <w:tcW w:w="1222" w:type="dxa"/>
            <w:vAlign w:val="center"/>
          </w:tcPr>
          <w:p>
            <w:p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sz w:val="21"/>
                <w:szCs w:val="21"/>
                <w:vertAlign w:val="baseline"/>
                <w:lang w:val="en-US" w:eastAsia="zh-CN"/>
              </w:rPr>
              <w:t>已落实</w:t>
            </w:r>
          </w:p>
        </w:tc>
      </w:tr>
    </w:tbl>
    <w:p>
      <w:pPr>
        <w:pStyle w:val="6"/>
        <w:numPr>
          <w:ilvl w:val="7"/>
          <w:numId w:val="0"/>
        </w:numPr>
        <w:spacing w:line="240" w:lineRule="auto"/>
        <w:ind w:leftChars="200"/>
        <w:outlineLvl w:val="9"/>
        <w:rPr>
          <w:rFonts w:hint="default"/>
          <w:lang w:val="en-US" w:eastAsia="zh-CN"/>
        </w:rPr>
        <w:sectPr>
          <w:pgSz w:w="16838" w:h="11906" w:orient="landscape"/>
          <w:pgMar w:top="1800" w:right="1440" w:bottom="1800" w:left="1440" w:header="964" w:footer="1134" w:gutter="0"/>
          <w:pgNumType w:fmt="decimal"/>
          <w:cols w:space="720" w:num="1"/>
          <w:docGrid w:type="lines" w:linePitch="326" w:charSpace="0"/>
        </w:sectPr>
      </w:pPr>
    </w:p>
    <w:p>
      <w:pPr>
        <w:bidi w:val="0"/>
        <w:ind w:left="0" w:leftChars="0" w:firstLine="0" w:firstLineChars="0"/>
        <w:outlineLvl w:val="0"/>
        <w:rPr>
          <w:rFonts w:hint="default" w:asciiTheme="minorEastAsia" w:hAnsiTheme="minorEastAsia" w:eastAsiaTheme="minorEastAsia" w:cstheme="minorEastAsia"/>
          <w:b/>
          <w:bCs/>
          <w:sz w:val="30"/>
          <w:szCs w:val="30"/>
          <w:lang w:val="en-US" w:eastAsia="zh-CN"/>
        </w:rPr>
      </w:pPr>
      <w:bookmarkStart w:id="102" w:name="_Toc5770"/>
      <w:bookmarkStart w:id="103" w:name="_Toc2133"/>
      <w:r>
        <w:rPr>
          <w:rFonts w:hint="eastAsia" w:asciiTheme="minorEastAsia" w:hAnsiTheme="minorEastAsia" w:eastAsiaTheme="minorEastAsia" w:cstheme="minorEastAsia"/>
          <w:b/>
          <w:bCs/>
          <w:sz w:val="30"/>
          <w:szCs w:val="30"/>
          <w:lang w:val="en-US" w:eastAsia="zh-CN"/>
        </w:rPr>
        <w:t>4 、环境影响报告书主要结论及其审批部门审批</w:t>
      </w:r>
      <w:bookmarkEnd w:id="102"/>
      <w:r>
        <w:rPr>
          <w:rFonts w:hint="eastAsia" w:asciiTheme="minorEastAsia" w:hAnsiTheme="minorEastAsia" w:eastAsiaTheme="minorEastAsia" w:cstheme="minorEastAsia"/>
          <w:b/>
          <w:bCs/>
          <w:sz w:val="30"/>
          <w:szCs w:val="30"/>
          <w:lang w:val="en-US" w:eastAsia="zh-CN"/>
        </w:rPr>
        <w:t>情况</w:t>
      </w:r>
      <w:bookmarkEnd w:id="103"/>
    </w:p>
    <w:p>
      <w:pPr>
        <w:keepNext w:val="0"/>
        <w:keepLines w:val="0"/>
        <w:widowControl/>
        <w:suppressLineNumbers w:val="0"/>
        <w:spacing w:line="360" w:lineRule="auto"/>
        <w:ind w:firstLine="480" w:firstLineChars="200"/>
        <w:jc w:val="left"/>
        <w:rPr>
          <w:rFonts w:hint="eastAsia" w:asciiTheme="minorEastAsia" w:hAnsiTheme="minorEastAsia" w:eastAsiaTheme="minorEastAsia" w:cstheme="minorEastAsia"/>
          <w:b w:val="0"/>
          <w:bCs w:val="0"/>
          <w:sz w:val="24"/>
          <w:szCs w:val="24"/>
          <w:lang w:val="en-US"/>
        </w:rPr>
      </w:pPr>
      <w:r>
        <w:rPr>
          <w:rFonts w:hint="eastAsia" w:asciiTheme="minorEastAsia" w:hAnsiTheme="minorEastAsia" w:eastAsiaTheme="minorEastAsia" w:cstheme="minorEastAsia"/>
          <w:sz w:val="24"/>
          <w:szCs w:val="24"/>
          <w:lang w:val="en-US" w:eastAsia="zh-CN"/>
        </w:rPr>
        <w:t>本项目于2021年9 月委托</w:t>
      </w:r>
      <w:r>
        <w:rPr>
          <w:rFonts w:hint="eastAsia" w:asciiTheme="minorEastAsia" w:hAnsiTheme="minorEastAsia" w:eastAsiaTheme="minorEastAsia" w:cstheme="minorEastAsia"/>
          <w:b w:val="0"/>
          <w:bCs w:val="0"/>
          <w:color w:val="000000"/>
          <w:kern w:val="0"/>
          <w:sz w:val="24"/>
          <w:szCs w:val="24"/>
          <w:lang w:val="en-US" w:eastAsia="zh-CN" w:bidi="ar"/>
        </w:rPr>
        <w:t>浙江翠金环境科技有限公司编制了《</w:t>
      </w:r>
      <w:r>
        <w:rPr>
          <w:rFonts w:hint="eastAsia" w:asciiTheme="minorEastAsia" w:hAnsiTheme="minorEastAsia" w:eastAsiaTheme="minorEastAsia" w:cstheme="minorEastAsia"/>
          <w:sz w:val="24"/>
          <w:szCs w:val="24"/>
          <w:lang w:eastAsia="zh-CN"/>
        </w:rPr>
        <w:t>浙江铭泽</w:t>
      </w:r>
      <w:r>
        <w:rPr>
          <w:rFonts w:hint="eastAsia" w:asciiTheme="minorEastAsia" w:hAnsiTheme="minorEastAsia" w:eastAsiaTheme="minorEastAsia" w:cstheme="minorEastAsia"/>
          <w:sz w:val="24"/>
          <w:szCs w:val="24"/>
          <w:lang w:val="en-US" w:eastAsia="zh-CN"/>
        </w:rPr>
        <w:t>农牧发展</w:t>
      </w:r>
      <w:r>
        <w:rPr>
          <w:rFonts w:hint="eastAsia" w:asciiTheme="minorEastAsia" w:hAnsiTheme="minorEastAsia" w:eastAsiaTheme="minorEastAsia" w:cstheme="minorEastAsia"/>
          <w:sz w:val="24"/>
          <w:szCs w:val="24"/>
          <w:lang w:eastAsia="zh-CN"/>
        </w:rPr>
        <w:t>有限公司衢江区铭泽公司肉牛养殖项目</w:t>
      </w:r>
      <w:r>
        <w:rPr>
          <w:rFonts w:hint="eastAsia" w:asciiTheme="minorEastAsia" w:hAnsiTheme="minorEastAsia" w:eastAsiaTheme="minorEastAsia" w:cstheme="minorEastAsia"/>
          <w:sz w:val="24"/>
          <w:szCs w:val="24"/>
          <w:lang w:val="en-US" w:eastAsia="zh-CN"/>
        </w:rPr>
        <w:t>环境影响报告书</w:t>
      </w:r>
      <w:r>
        <w:rPr>
          <w:rFonts w:hint="eastAsia" w:asciiTheme="minorEastAsia" w:hAnsiTheme="minorEastAsia" w:eastAsiaTheme="minorEastAsia" w:cstheme="minorEastAsia"/>
          <w:b w:val="0"/>
          <w:bCs w:val="0"/>
          <w:color w:val="000000"/>
          <w:kern w:val="0"/>
          <w:sz w:val="24"/>
          <w:szCs w:val="24"/>
          <w:lang w:val="en-US" w:eastAsia="zh-CN" w:bidi="ar"/>
        </w:rPr>
        <w:t>》（2021年9月），于2021年10月由衢江区生态环境保护分局对本项目进行了批复（批复文号：衢江环建[2021]35号）。</w:t>
      </w:r>
    </w:p>
    <w:p>
      <w:pPr>
        <w:spacing w:line="360" w:lineRule="auto"/>
        <w:ind w:left="0" w:leftChars="0" w:firstLine="0" w:firstLineChars="0"/>
        <w:outlineLvl w:val="1"/>
        <w:rPr>
          <w:rFonts w:hint="eastAsia" w:asciiTheme="minorEastAsia" w:hAnsiTheme="minorEastAsia" w:eastAsiaTheme="minorEastAsia" w:cstheme="minorEastAsia"/>
          <w:b/>
          <w:bCs/>
          <w:sz w:val="28"/>
          <w:szCs w:val="28"/>
          <w:lang w:val="en-US" w:eastAsia="zh-CN"/>
        </w:rPr>
      </w:pPr>
      <w:bookmarkStart w:id="104" w:name="_Toc20487"/>
      <w:bookmarkStart w:id="105" w:name="_Toc391"/>
      <w:r>
        <w:rPr>
          <w:rFonts w:hint="eastAsia" w:asciiTheme="minorEastAsia" w:hAnsiTheme="minorEastAsia" w:eastAsiaTheme="minorEastAsia" w:cstheme="minorEastAsia"/>
          <w:b/>
          <w:bCs/>
          <w:sz w:val="28"/>
          <w:szCs w:val="28"/>
          <w:lang w:val="en-US" w:eastAsia="zh-CN"/>
        </w:rPr>
        <w:t>4.1、环境影响报告书主要结论与建议</w:t>
      </w:r>
      <w:bookmarkEnd w:id="104"/>
      <w:bookmarkEnd w:id="105"/>
    </w:p>
    <w:p>
      <w:pPr>
        <w:spacing w:line="360" w:lineRule="auto"/>
        <w:ind w:left="0" w:leftChars="0" w:firstLine="0" w:firstLineChars="0"/>
      </w:pPr>
      <w:r>
        <w:rPr>
          <w:rFonts w:hint="eastAsia" w:asciiTheme="minorEastAsia" w:hAnsiTheme="minorEastAsia" w:eastAsiaTheme="minorEastAsia" w:cstheme="minorEastAsia"/>
          <w:b w:val="0"/>
          <w:bCs w:val="0"/>
          <w:sz w:val="24"/>
          <w:szCs w:val="24"/>
          <w:lang w:val="en-US" w:eastAsia="zh-CN"/>
        </w:rPr>
        <w:t>项目概况：</w:t>
      </w:r>
    </w:p>
    <w:p>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浙江铭泽农牧发展有限公司计划投资 </w:t>
      </w:r>
      <w:r>
        <w:rPr>
          <w:rFonts w:hint="default" w:ascii="Times New Roman" w:hAnsi="Times New Roman" w:eastAsia="宋体" w:cs="Times New Roman"/>
          <w:color w:val="000000"/>
          <w:kern w:val="0"/>
          <w:sz w:val="24"/>
          <w:szCs w:val="24"/>
          <w:lang w:val="en-US" w:eastAsia="zh-CN" w:bidi="ar"/>
        </w:rPr>
        <w:t xml:space="preserve">10426 </w:t>
      </w:r>
      <w:r>
        <w:rPr>
          <w:rFonts w:hint="eastAsia" w:ascii="宋体" w:hAnsi="宋体" w:eastAsia="宋体" w:cs="宋体"/>
          <w:color w:val="000000"/>
          <w:kern w:val="0"/>
          <w:sz w:val="24"/>
          <w:szCs w:val="24"/>
          <w:lang w:val="en-US" w:eastAsia="zh-CN" w:bidi="ar"/>
        </w:rPr>
        <w:t xml:space="preserve">万元，选址于衢州市衢江区黄毛畈村黄巴垅附近的山地、林地，实施建设浙江铭泽农牧发展有限公司衢江区铭泽公司 肉牛养殖项目。项目总占地面积 </w:t>
      </w:r>
      <w:r>
        <w:rPr>
          <w:rFonts w:hint="default" w:ascii="Times New Roman" w:hAnsi="Times New Roman" w:eastAsia="宋体" w:cs="Times New Roman"/>
          <w:color w:val="000000"/>
          <w:kern w:val="0"/>
          <w:sz w:val="24"/>
          <w:szCs w:val="24"/>
          <w:lang w:val="en-US" w:eastAsia="zh-CN" w:bidi="ar"/>
        </w:rPr>
        <w:t>230</w:t>
      </w:r>
      <w:r>
        <w:rPr>
          <w:rFonts w:hint="eastAsia" w:ascii="宋体" w:hAnsi="宋体" w:eastAsia="宋体" w:cs="宋体"/>
          <w:color w:val="000000"/>
          <w:kern w:val="0"/>
          <w:sz w:val="24"/>
          <w:szCs w:val="24"/>
          <w:lang w:val="en-US" w:eastAsia="zh-CN" w:bidi="ar"/>
        </w:rPr>
        <w:t xml:space="preserve">亩，其中生产区永久占地面积 </w:t>
      </w:r>
      <w:r>
        <w:rPr>
          <w:rFonts w:hint="default" w:ascii="Times New Roman" w:hAnsi="Times New Roman" w:eastAsia="宋体" w:cs="Times New Roman"/>
          <w:color w:val="000000"/>
          <w:kern w:val="0"/>
          <w:sz w:val="24"/>
          <w:szCs w:val="24"/>
          <w:lang w:val="en-US" w:eastAsia="zh-CN" w:bidi="ar"/>
        </w:rPr>
        <w:t xml:space="preserve">56269 </w:t>
      </w:r>
      <w:r>
        <w:rPr>
          <w:rFonts w:hint="eastAsia" w:ascii="宋体" w:hAnsi="宋体" w:eastAsia="宋体" w:cs="宋体"/>
          <w:color w:val="000000"/>
          <w:kern w:val="0"/>
          <w:sz w:val="24"/>
          <w:szCs w:val="24"/>
          <w:lang w:val="en-US" w:eastAsia="zh-CN" w:bidi="ar"/>
        </w:rPr>
        <w:t xml:space="preserve">平方米。 项目新建总建筑面积 </w:t>
      </w:r>
      <w:r>
        <w:rPr>
          <w:rFonts w:hint="default" w:ascii="Times New Roman" w:hAnsi="Times New Roman" w:eastAsia="宋体" w:cs="Times New Roman"/>
          <w:color w:val="000000"/>
          <w:kern w:val="0"/>
          <w:sz w:val="24"/>
          <w:szCs w:val="24"/>
          <w:lang w:val="en-US" w:eastAsia="zh-CN" w:bidi="ar"/>
        </w:rPr>
        <w:t>28815</w:t>
      </w:r>
      <w:r>
        <w:rPr>
          <w:rFonts w:hint="eastAsia" w:ascii="宋体" w:hAnsi="宋体" w:eastAsia="宋体" w:cs="宋体"/>
          <w:color w:val="000000"/>
          <w:kern w:val="0"/>
          <w:sz w:val="24"/>
          <w:szCs w:val="24"/>
          <w:lang w:val="en-US" w:eastAsia="zh-CN" w:bidi="ar"/>
        </w:rPr>
        <w:t>平方米，新建栏舍</w:t>
      </w:r>
      <w:r>
        <w:rPr>
          <w:rFonts w:hint="default" w:ascii="Times New Roman" w:hAnsi="Times New Roman" w:eastAsia="宋体" w:cs="Times New Roman"/>
          <w:color w:val="000000"/>
          <w:kern w:val="0"/>
          <w:sz w:val="24"/>
          <w:szCs w:val="24"/>
          <w:lang w:val="en-US" w:eastAsia="zh-CN" w:bidi="ar"/>
        </w:rPr>
        <w:t xml:space="preserve">27 </w:t>
      </w:r>
      <w:r>
        <w:rPr>
          <w:rFonts w:hint="eastAsia" w:ascii="宋体" w:hAnsi="宋体" w:eastAsia="宋体" w:cs="宋体"/>
          <w:color w:val="000000"/>
          <w:kern w:val="0"/>
          <w:sz w:val="24"/>
          <w:szCs w:val="24"/>
          <w:lang w:val="en-US" w:eastAsia="zh-CN" w:bidi="ar"/>
        </w:rPr>
        <w:t>栋</w:t>
      </w:r>
      <w:r>
        <w:rPr>
          <w:rFonts w:hint="default" w:ascii="Times New Roman" w:hAnsi="Times New Roman" w:eastAsia="宋体" w:cs="Times New Roman"/>
          <w:color w:val="000000"/>
          <w:kern w:val="0"/>
          <w:sz w:val="24"/>
          <w:szCs w:val="24"/>
          <w:lang w:val="en-US" w:eastAsia="zh-CN" w:bidi="ar"/>
        </w:rPr>
        <w:t xml:space="preserve">(18277 </w:t>
      </w:r>
      <w:r>
        <w:rPr>
          <w:rFonts w:hint="eastAsia" w:ascii="宋体" w:hAnsi="宋体" w:eastAsia="宋体" w:cs="宋体"/>
          <w:color w:val="000000"/>
          <w:kern w:val="0"/>
          <w:sz w:val="24"/>
          <w:szCs w:val="24"/>
          <w:lang w:val="en-US" w:eastAsia="zh-CN" w:bidi="ar"/>
        </w:rPr>
        <w:t>平方米</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 xml:space="preserve">，污水处理设施 </w:t>
      </w:r>
      <w:r>
        <w:rPr>
          <w:rFonts w:hint="default" w:ascii="Times New Roman" w:hAnsi="Times New Roman" w:eastAsia="宋体" w:cs="Times New Roman"/>
          <w:color w:val="000000"/>
          <w:kern w:val="0"/>
          <w:sz w:val="24"/>
          <w:szCs w:val="24"/>
          <w:lang w:val="en-US" w:eastAsia="zh-CN" w:bidi="ar"/>
        </w:rPr>
        <w:t xml:space="preserve">5570 </w:t>
      </w:r>
      <w:r>
        <w:rPr>
          <w:rFonts w:hint="eastAsia" w:ascii="宋体" w:hAnsi="宋体" w:eastAsia="宋体" w:cs="宋体"/>
          <w:color w:val="000000"/>
          <w:kern w:val="0"/>
          <w:sz w:val="24"/>
          <w:szCs w:val="24"/>
          <w:lang w:val="en-US" w:eastAsia="zh-CN" w:bidi="ar"/>
        </w:rPr>
        <w:t xml:space="preserve">平方米，附属配套设施建筑面积 </w:t>
      </w:r>
      <w:r>
        <w:rPr>
          <w:rFonts w:hint="default" w:ascii="Times New Roman" w:hAnsi="Times New Roman" w:eastAsia="宋体" w:cs="Times New Roman"/>
          <w:color w:val="000000"/>
          <w:kern w:val="0"/>
          <w:sz w:val="24"/>
          <w:szCs w:val="24"/>
          <w:lang w:val="en-US" w:eastAsia="zh-CN" w:bidi="ar"/>
        </w:rPr>
        <w:t xml:space="preserve">5018 </w:t>
      </w:r>
      <w:r>
        <w:rPr>
          <w:rFonts w:hint="eastAsia" w:ascii="宋体" w:hAnsi="宋体" w:eastAsia="宋体" w:cs="宋体"/>
          <w:color w:val="000000"/>
          <w:kern w:val="0"/>
          <w:sz w:val="24"/>
          <w:szCs w:val="24"/>
          <w:lang w:val="en-US" w:eastAsia="zh-CN" w:bidi="ar"/>
        </w:rPr>
        <w:t>平方米。并配套饲养设备、饲料加工设备、污粪处理设施等，本项目采用封闭式管理，建设标准化肉牛养殖场，建成后形成年出栏</w:t>
      </w:r>
      <w:r>
        <w:rPr>
          <w:rFonts w:hint="default" w:ascii="Times New Roman" w:hAnsi="Times New Roman" w:eastAsia="宋体" w:cs="Times New Roman"/>
          <w:color w:val="000000"/>
          <w:kern w:val="0"/>
          <w:sz w:val="24"/>
          <w:szCs w:val="24"/>
          <w:lang w:val="en-US" w:eastAsia="zh-CN" w:bidi="ar"/>
        </w:rPr>
        <w:t xml:space="preserve">2000 </w:t>
      </w:r>
      <w:r>
        <w:rPr>
          <w:rFonts w:hint="eastAsia" w:ascii="宋体" w:hAnsi="宋体" w:eastAsia="宋体" w:cs="宋体"/>
          <w:color w:val="000000"/>
          <w:kern w:val="0"/>
          <w:sz w:val="24"/>
          <w:szCs w:val="24"/>
          <w:lang w:val="en-US" w:eastAsia="zh-CN" w:bidi="ar"/>
        </w:rPr>
        <w:t xml:space="preserve">头肉牛的生产规模。 </w:t>
      </w:r>
    </w:p>
    <w:p>
      <w:pPr>
        <w:keepNext w:val="0"/>
        <w:keepLines w:val="0"/>
        <w:widowControl/>
        <w:suppressLineNumbers w:val="0"/>
        <w:jc w:val="left"/>
      </w:pPr>
      <w:r>
        <w:rPr>
          <w:rFonts w:hint="default" w:ascii="Times New Roman" w:hAnsi="Times New Roman" w:eastAsia="宋体" w:cs="Times New Roman"/>
          <w:color w:val="000000"/>
          <w:kern w:val="0"/>
          <w:sz w:val="24"/>
          <w:szCs w:val="24"/>
          <w:lang w:val="en-US" w:eastAsia="zh-CN" w:bidi="ar"/>
        </w:rPr>
        <w:t xml:space="preserve">2021 </w:t>
      </w:r>
      <w:r>
        <w:rPr>
          <w:rFonts w:hint="eastAsia" w:ascii="宋体" w:hAnsi="宋体" w:eastAsia="宋体" w:cs="宋体"/>
          <w:color w:val="000000"/>
          <w:kern w:val="0"/>
          <w:sz w:val="24"/>
          <w:szCs w:val="24"/>
          <w:lang w:val="en-US" w:eastAsia="zh-CN" w:bidi="ar"/>
        </w:rPr>
        <w:t xml:space="preserve">年 </w:t>
      </w:r>
      <w:r>
        <w:rPr>
          <w:rFonts w:hint="default" w:ascii="Times New Roman" w:hAnsi="Times New Roman" w:eastAsia="宋体" w:cs="Times New Roman"/>
          <w:color w:val="000000"/>
          <w:kern w:val="0"/>
          <w:sz w:val="24"/>
          <w:szCs w:val="24"/>
          <w:lang w:val="en-US" w:eastAsia="zh-CN" w:bidi="ar"/>
        </w:rPr>
        <w:t xml:space="preserve">4 </w:t>
      </w:r>
      <w:r>
        <w:rPr>
          <w:rFonts w:hint="eastAsia" w:ascii="宋体" w:hAnsi="宋体" w:eastAsia="宋体" w:cs="宋体"/>
          <w:color w:val="000000"/>
          <w:kern w:val="0"/>
          <w:sz w:val="24"/>
          <w:szCs w:val="24"/>
          <w:lang w:val="en-US" w:eastAsia="zh-CN" w:bidi="ar"/>
        </w:rPr>
        <w:t xml:space="preserve">月 </w:t>
      </w:r>
      <w:r>
        <w:rPr>
          <w:rFonts w:hint="default" w:ascii="Times New Roman" w:hAnsi="Times New Roman" w:eastAsia="宋体" w:cs="Times New Roman"/>
          <w:color w:val="000000"/>
          <w:kern w:val="0"/>
          <w:sz w:val="24"/>
          <w:szCs w:val="24"/>
          <w:lang w:val="en-US" w:eastAsia="zh-CN" w:bidi="ar"/>
        </w:rPr>
        <w:t xml:space="preserve">12 </w:t>
      </w:r>
      <w:r>
        <w:rPr>
          <w:rFonts w:hint="eastAsia" w:ascii="宋体" w:hAnsi="宋体" w:eastAsia="宋体" w:cs="宋体"/>
          <w:color w:val="000000"/>
          <w:kern w:val="0"/>
          <w:sz w:val="24"/>
          <w:szCs w:val="24"/>
          <w:lang w:val="en-US" w:eastAsia="zh-CN" w:bidi="ar"/>
        </w:rPr>
        <w:t>日项目取得衢江区农业投资项目决策咨询服务协调会议纪要</w:t>
      </w:r>
      <w:r>
        <w:rPr>
          <w:rFonts w:hint="default" w:ascii="Times New Roman" w:hAnsi="Times New Roman" w:eastAsia="宋体" w:cs="Times New Roman"/>
          <w:color w:val="000000"/>
          <w:kern w:val="0"/>
          <w:sz w:val="24"/>
          <w:szCs w:val="24"/>
          <w:lang w:val="en-US" w:eastAsia="zh-CN" w:bidi="ar"/>
        </w:rPr>
        <w:t xml:space="preserve">([2020]1 </w:t>
      </w:r>
      <w:r>
        <w:rPr>
          <w:rFonts w:hint="eastAsia" w:ascii="宋体" w:hAnsi="宋体" w:eastAsia="宋体" w:cs="宋体"/>
          <w:color w:val="000000"/>
          <w:kern w:val="0"/>
          <w:sz w:val="24"/>
          <w:szCs w:val="24"/>
          <w:lang w:val="en-US" w:eastAsia="zh-CN" w:bidi="ar"/>
        </w:rPr>
        <w:t>号</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 xml:space="preserve">2021 </w:t>
      </w:r>
      <w:r>
        <w:rPr>
          <w:rFonts w:hint="eastAsia" w:ascii="宋体" w:hAnsi="宋体" w:eastAsia="宋体" w:cs="宋体"/>
          <w:color w:val="000000"/>
          <w:kern w:val="0"/>
          <w:sz w:val="24"/>
          <w:szCs w:val="24"/>
          <w:lang w:val="en-US" w:eastAsia="zh-CN" w:bidi="ar"/>
        </w:rPr>
        <w:t xml:space="preserve">年 </w:t>
      </w:r>
      <w:r>
        <w:rPr>
          <w:rFonts w:hint="default" w:ascii="Times New Roman" w:hAnsi="Times New Roman" w:eastAsia="宋体" w:cs="Times New Roman"/>
          <w:color w:val="000000"/>
          <w:kern w:val="0"/>
          <w:sz w:val="24"/>
          <w:szCs w:val="24"/>
          <w:lang w:val="en-US" w:eastAsia="zh-CN" w:bidi="ar"/>
        </w:rPr>
        <w:t xml:space="preserve">4 </w:t>
      </w:r>
      <w:r>
        <w:rPr>
          <w:rFonts w:hint="eastAsia" w:ascii="宋体" w:hAnsi="宋体" w:eastAsia="宋体" w:cs="宋体"/>
          <w:color w:val="000000"/>
          <w:kern w:val="0"/>
          <w:sz w:val="24"/>
          <w:szCs w:val="24"/>
          <w:lang w:val="en-US" w:eastAsia="zh-CN" w:bidi="ar"/>
        </w:rPr>
        <w:t xml:space="preserve">月 </w:t>
      </w:r>
      <w:r>
        <w:rPr>
          <w:rFonts w:hint="default" w:ascii="Times New Roman" w:hAnsi="Times New Roman" w:eastAsia="宋体" w:cs="Times New Roman"/>
          <w:color w:val="000000"/>
          <w:kern w:val="0"/>
          <w:sz w:val="24"/>
          <w:szCs w:val="24"/>
          <w:lang w:val="en-US" w:eastAsia="zh-CN" w:bidi="ar"/>
        </w:rPr>
        <w:t xml:space="preserve">23 </w:t>
      </w:r>
      <w:r>
        <w:rPr>
          <w:rFonts w:hint="eastAsia" w:ascii="宋体" w:hAnsi="宋体" w:eastAsia="宋体" w:cs="宋体"/>
          <w:color w:val="000000"/>
          <w:kern w:val="0"/>
          <w:sz w:val="24"/>
          <w:szCs w:val="24"/>
          <w:lang w:val="en-US" w:eastAsia="zh-CN" w:bidi="ar"/>
        </w:rPr>
        <w:t>日衢江区发展和改革局</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粮食和物资储备局</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对该项目进行了备案</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项目代码：</w:t>
      </w:r>
      <w:r>
        <w:rPr>
          <w:rFonts w:hint="default" w:ascii="Times New Roman" w:hAnsi="Times New Roman" w:eastAsia="宋体" w:cs="Times New Roman"/>
          <w:color w:val="000000"/>
          <w:kern w:val="0"/>
          <w:sz w:val="24"/>
          <w:szCs w:val="24"/>
          <w:lang w:val="en-US" w:eastAsia="zh-CN" w:bidi="ar"/>
        </w:rPr>
        <w:t>2014-330803-04-01-445103))</w:t>
      </w:r>
      <w:r>
        <w:rPr>
          <w:rFonts w:hint="eastAsia" w:ascii="宋体" w:hAnsi="宋体" w:eastAsia="宋体" w:cs="宋体"/>
          <w:color w:val="000000"/>
          <w:kern w:val="0"/>
          <w:sz w:val="24"/>
          <w:szCs w:val="24"/>
          <w:lang w:val="en-US" w:eastAsia="zh-CN" w:bidi="ar"/>
        </w:rPr>
        <w:t>。</w:t>
      </w:r>
    </w:p>
    <w:p>
      <w:pPr>
        <w:pStyle w:val="7"/>
        <w:ind w:left="0" w:leftChars="0" w:firstLine="0" w:firstLineChars="0"/>
        <w:rPr>
          <w:rFonts w:hint="default"/>
          <w:lang w:val="en-US" w:eastAsia="zh-CN"/>
        </w:rPr>
      </w:pPr>
      <w:r>
        <w:rPr>
          <w:rFonts w:hint="eastAsia" w:asciiTheme="minorEastAsia" w:hAnsiTheme="minorEastAsia" w:eastAsiaTheme="minorEastAsia" w:cstheme="minorEastAsia"/>
          <w:b w:val="0"/>
          <w:bCs w:val="0"/>
          <w:sz w:val="24"/>
          <w:szCs w:val="24"/>
          <w:lang w:val="en-US" w:eastAsia="zh-CN"/>
        </w:rPr>
        <w:t>环境影响报告书主要结论：</w:t>
      </w:r>
    </w:p>
    <w:p>
      <w:pPr>
        <w:keepNext w:val="0"/>
        <w:keepLines w:val="0"/>
        <w:widowControl/>
        <w:suppressLineNumbers w:val="0"/>
        <w:spacing w:line="360" w:lineRule="auto"/>
        <w:ind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val="0"/>
          <w:bCs w:val="0"/>
          <w:sz w:val="24"/>
          <w:szCs w:val="24"/>
          <w:lang w:val="en-US" w:eastAsia="zh-CN"/>
        </w:rPr>
        <w:t xml:space="preserve"> </w:t>
      </w:r>
      <w:r>
        <w:rPr>
          <w:rFonts w:hint="eastAsia" w:asciiTheme="minorEastAsia" w:hAnsiTheme="minorEastAsia" w:eastAsiaTheme="minorEastAsia" w:cstheme="minorEastAsia"/>
          <w:color w:val="000000"/>
          <w:kern w:val="0"/>
          <w:sz w:val="24"/>
          <w:szCs w:val="24"/>
          <w:lang w:val="en-US" w:eastAsia="zh-CN" w:bidi="ar"/>
        </w:rPr>
        <w:t>浙江铭泽农牧发展有限公司衢江区铭泽公司肉牛养殖项目位于衢州市衢江区黄毛畈村黄巴垅附近的山地、林地。项目的实施符合生态保护红线、环境质量底线、资源利用上线和生态环境准入清单管控的要求；排放污染物符合国家、省规定的污染物排放标准和重点污染物排放总量控制要求；符合国土空间规划、国家和省产业政策等要求；项目建设符合衢州市区“三线一单”生态环境分区管控方案要求；符合《建设项目环境保护管理条例》（国务院令第 682 号）“四性五不批”的要求。</w:t>
      </w:r>
    </w:p>
    <w:p>
      <w:pPr>
        <w:keepNext w:val="0"/>
        <w:keepLines w:val="0"/>
        <w:widowControl/>
        <w:suppressLineNumbers w:val="0"/>
        <w:spacing w:line="360" w:lineRule="auto"/>
        <w:ind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企业在生产过程中需严格落实处理设施的正常运行和管理，确保废气、废水、噪声达标排放。企业必须严格执行环保“三同时”制度，并认真落实本环评提出的各项污染防治措施，加强环保管理，确保污染物达标排放，生产对周围环境影响较小。同时杜绝事故性排放，强化安全生产。从环境保护角度分析，本项目的建设符合浙江省建设项目环保审批原则，综上所述，本项目的实施从环保角度讲是可行的。</w:t>
      </w:r>
    </w:p>
    <w:p>
      <w:pPr>
        <w:bidi w:val="0"/>
        <w:ind w:left="0" w:leftChars="0" w:firstLine="0" w:firstLineChars="0"/>
        <w:outlineLvl w:val="1"/>
        <w:rPr>
          <w:rFonts w:hint="eastAsia" w:asciiTheme="minorEastAsia" w:hAnsiTheme="minorEastAsia" w:eastAsiaTheme="minorEastAsia" w:cstheme="minorEastAsia"/>
          <w:b/>
          <w:bCs/>
          <w:sz w:val="28"/>
          <w:szCs w:val="28"/>
          <w:lang w:val="en-US" w:eastAsia="zh-CN"/>
        </w:rPr>
      </w:pPr>
      <w:bookmarkStart w:id="106" w:name="_Toc4052"/>
      <w:bookmarkStart w:id="107" w:name="_Toc4278"/>
      <w:bookmarkStart w:id="108" w:name="_Toc12538"/>
      <w:r>
        <w:rPr>
          <w:rFonts w:hint="eastAsia" w:asciiTheme="minorEastAsia" w:hAnsiTheme="minorEastAsia" w:eastAsiaTheme="minorEastAsia" w:cstheme="minorEastAsia"/>
          <w:b/>
          <w:bCs/>
          <w:sz w:val="28"/>
          <w:szCs w:val="28"/>
          <w:lang w:val="en-US" w:eastAsia="zh-CN"/>
        </w:rPr>
        <w:t>4</w:t>
      </w:r>
      <w:r>
        <w:rPr>
          <w:rFonts w:hint="eastAsia" w:asciiTheme="minorEastAsia" w:hAnsiTheme="minorEastAsia" w:eastAsiaTheme="minorEastAsia" w:cstheme="minorEastAsia"/>
          <w:b/>
          <w:bCs/>
          <w:sz w:val="28"/>
          <w:szCs w:val="28"/>
        </w:rPr>
        <w:t>.</w:t>
      </w:r>
      <w:bookmarkStart w:id="109" w:name="_Toc19132"/>
      <w:bookmarkStart w:id="110" w:name="_Toc498"/>
      <w:r>
        <w:rPr>
          <w:rFonts w:hint="eastAsia" w:asciiTheme="minorEastAsia" w:hAnsiTheme="minorEastAsia" w:eastAsiaTheme="minorEastAsia" w:cstheme="minorEastAsia"/>
          <w:b/>
          <w:bCs/>
          <w:sz w:val="28"/>
          <w:szCs w:val="28"/>
        </w:rPr>
        <w:t>2</w:t>
      </w:r>
      <w:bookmarkEnd w:id="106"/>
      <w:bookmarkEnd w:id="107"/>
      <w:bookmarkEnd w:id="109"/>
      <w:bookmarkEnd w:id="110"/>
      <w:r>
        <w:rPr>
          <w:rFonts w:hint="eastAsia" w:asciiTheme="minorEastAsia" w:hAnsiTheme="minorEastAsia" w:eastAsiaTheme="minorEastAsia" w:cstheme="minorEastAsia"/>
          <w:b/>
          <w:bCs/>
          <w:sz w:val="28"/>
          <w:szCs w:val="28"/>
          <w:lang w:eastAsia="zh-CN"/>
        </w:rPr>
        <w:t>、</w:t>
      </w:r>
      <w:r>
        <w:rPr>
          <w:rFonts w:hint="eastAsia" w:asciiTheme="minorEastAsia" w:hAnsiTheme="minorEastAsia" w:eastAsiaTheme="minorEastAsia" w:cstheme="minorEastAsia"/>
          <w:b/>
          <w:bCs/>
          <w:sz w:val="28"/>
          <w:szCs w:val="28"/>
          <w:lang w:val="en-US" w:eastAsia="zh-CN"/>
        </w:rPr>
        <w:t>审批部门审批意见</w:t>
      </w:r>
      <w:bookmarkEnd w:id="108"/>
    </w:p>
    <w:p>
      <w:pPr>
        <w:keepNext w:val="0"/>
        <w:keepLines w:val="0"/>
        <w:widowControl/>
        <w:suppressLineNumbers w:val="0"/>
        <w:spacing w:line="360" w:lineRule="auto"/>
        <w:ind w:left="0" w:leftChars="0" w:firstLine="480" w:firstLineChars="200"/>
        <w:jc w:val="left"/>
        <w:rPr>
          <w:rFonts w:hint="default" w:ascii="宋体" w:hAnsi="宋体" w:eastAsia="宋体" w:cs="宋体"/>
          <w:b w:val="0"/>
          <w:bCs/>
          <w:sz w:val="24"/>
          <w:szCs w:val="24"/>
          <w:lang w:val="en-US"/>
        </w:rPr>
      </w:pPr>
      <w:r>
        <w:rPr>
          <w:rFonts w:hint="eastAsia" w:ascii="宋体" w:hAnsi="宋体" w:eastAsia="宋体" w:cs="宋体"/>
          <w:b w:val="0"/>
          <w:bCs/>
          <w:color w:val="000000"/>
          <w:kern w:val="0"/>
          <w:sz w:val="24"/>
          <w:szCs w:val="24"/>
          <w:lang w:val="en-US" w:eastAsia="zh-CN" w:bidi="ar"/>
        </w:rPr>
        <w:t>《关于浙江铭泽农牧发展有限公司衢江区铭泽公司肉牛养殖项目环境影响报告书的审查意见 》 ： 衢江环建[2021]35号</w:t>
      </w:r>
    </w:p>
    <w:p>
      <w:pPr>
        <w:pStyle w:val="4"/>
        <w:spacing w:line="360" w:lineRule="auto"/>
        <w:rPr>
          <w:rFonts w:ascii="宋体" w:hAnsi="宋体" w:eastAsia="宋体" w:cs="宋体"/>
          <w:b/>
          <w:bCs w:val="0"/>
          <w:sz w:val="24"/>
          <w:szCs w:val="24"/>
        </w:rPr>
      </w:pPr>
      <w:bookmarkStart w:id="111" w:name="_Toc13892"/>
      <w:bookmarkStart w:id="112" w:name="_Toc9016"/>
      <w:r>
        <w:rPr>
          <w:rFonts w:hint="eastAsia" w:ascii="宋体" w:hAnsi="宋体" w:eastAsia="宋体" w:cs="宋体"/>
          <w:b w:val="0"/>
          <w:bCs w:val="0"/>
          <w:color w:val="000000"/>
          <w:kern w:val="0"/>
          <w:sz w:val="24"/>
          <w:szCs w:val="24"/>
          <w:lang w:val="en-US" w:eastAsia="zh-CN" w:bidi="ar"/>
        </w:rPr>
        <w:t>浙江铭泽农牧发展有限公司：</w:t>
      </w:r>
      <w:bookmarkEnd w:id="111"/>
      <w:bookmarkEnd w:id="112"/>
    </w:p>
    <w:p>
      <w:pPr>
        <w:bidi w:val="0"/>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lang w:val="en-US" w:eastAsia="zh-CN"/>
        </w:rPr>
        <w:t>你单位《关于要求对浙江铭泽农牧发展有限公司衢江区铭泽公司肉牛养殖项目进行审批的函》及其它相关材料收 悉。根据《中华人民共和国环境影响评价法》、《建设项目环 境 保护管理条例》等环保法律法规，经研究，现将我局审查 意见函告如下：</w:t>
      </w:r>
    </w:p>
    <w:p>
      <w:pPr>
        <w:bidi w:val="0"/>
        <w:spacing w:line="360" w:lineRule="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一、根据你公司委托浙江翠金环境科技有限公司编制的 《浙江铭泽农牧发展有限公司衢江区铭泽公司肉牛养殖项目环境影响报告书》、衢江区农业投资项目决策咨询服务协调会议纪要【2021】1 号、浙江省外商投资项目备案信息2104-330803-04-01-445103（备案机关：衢江区发展和改革 局）及本项目环评行政许可公示意见反馈情况，原则同意《报 告书》结论。</w:t>
      </w:r>
    </w:p>
    <w:p>
      <w:pPr>
        <w:bidi w:val="0"/>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lang w:val="en-US" w:eastAsia="zh-CN"/>
        </w:rPr>
        <w:t>二、本项目建设地点：衢州市衢江区黄毛畈村黄巴垅附近的山地、林地。建设内容：新建栏舍 27 栋，采用封闭式管理，建设标准化肉牛养殖场，建成后形成存栏 2000 头肉牛，年出栏 2000 肉牛的生产规模。</w:t>
      </w:r>
    </w:p>
    <w:p>
      <w:pPr>
        <w:bidi w:val="0"/>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lang w:val="en-US" w:eastAsia="zh-CN"/>
        </w:rPr>
        <w:t xml:space="preserve">三、项目建设运行过程应重点做好以下工作： </w:t>
      </w:r>
    </w:p>
    <w:p>
      <w:pPr>
        <w:keepNext w:val="0"/>
        <w:keepLines w:val="0"/>
        <w:widowControl/>
        <w:suppressLineNumbers w:val="0"/>
        <w:spacing w:line="360" w:lineRule="auto"/>
        <w:jc w:val="left"/>
        <w:rPr>
          <w:sz w:val="24"/>
          <w:szCs w:val="24"/>
        </w:rPr>
      </w:pPr>
      <w:r>
        <w:rPr>
          <w:rFonts w:hint="eastAsia" w:ascii="宋体" w:hAnsi="宋体" w:eastAsia="宋体" w:cs="宋体"/>
          <w:color w:val="000000"/>
          <w:kern w:val="0"/>
          <w:sz w:val="24"/>
          <w:szCs w:val="24"/>
          <w:lang w:val="en-US" w:eastAsia="zh-CN" w:bidi="ar"/>
        </w:rPr>
        <w:t xml:space="preserve">（一）项目采用干清粪工艺，配套建设 100m3 /d 污水处理设施，养殖废水、初期雨水、生活污水统一经自建污水处理站处理，水质执行《浙江省畜禽养殖业污染物排放标准》（DB33/593-2005) 标 准限 值 和《农 田灌 溉 水质 标 准》 </w:t>
      </w:r>
    </w:p>
    <w:p>
      <w:pPr>
        <w:keepNext w:val="0"/>
        <w:keepLines w:val="0"/>
        <w:widowControl/>
        <w:suppressLineNumbers w:val="0"/>
        <w:spacing w:line="360" w:lineRule="auto"/>
        <w:ind w:left="0" w:leftChars="0" w:firstLine="0" w:firstLineChars="0"/>
        <w:jc w:val="left"/>
        <w:rPr>
          <w:sz w:val="24"/>
          <w:szCs w:val="24"/>
        </w:rPr>
      </w:pPr>
      <w:r>
        <w:rPr>
          <w:rFonts w:hint="eastAsia" w:ascii="宋体" w:hAnsi="宋体" w:eastAsia="宋体" w:cs="宋体"/>
          <w:color w:val="000000"/>
          <w:kern w:val="0"/>
          <w:sz w:val="24"/>
          <w:szCs w:val="24"/>
          <w:lang w:val="en-US" w:eastAsia="zh-CN" w:bidi="ar"/>
        </w:rPr>
        <w:t>（GB5084-2005）中旱作标准后，用于周边林地浇灌，不外排。</w:t>
      </w:r>
    </w:p>
    <w:p>
      <w:pPr>
        <w:keepNext w:val="0"/>
        <w:keepLines w:val="0"/>
        <w:widowControl/>
        <w:suppressLineNumbers w:val="0"/>
        <w:spacing w:line="360" w:lineRule="auto"/>
        <w:jc w:val="left"/>
        <w:rPr>
          <w:sz w:val="24"/>
          <w:szCs w:val="24"/>
        </w:rPr>
      </w:pPr>
      <w:r>
        <w:rPr>
          <w:rFonts w:hint="eastAsia" w:ascii="宋体" w:hAnsi="宋体" w:eastAsia="宋体" w:cs="宋体"/>
          <w:color w:val="000000"/>
          <w:kern w:val="0"/>
          <w:sz w:val="24"/>
          <w:szCs w:val="24"/>
          <w:lang w:val="en-US" w:eastAsia="zh-CN" w:bidi="ar"/>
        </w:rPr>
        <w:t>（二）根据产生的废气特点采取针对性的收集及处理措施，确保废气达标排放。加强栏舍通风，定期喷淋除臭液。项目采用好氧发酵罐堆肥法并采用除臭剂喷淋处理后排放，好氧堆肥发酵废气和污水处理站恶臭废气排放执行《恶臭污染物排放标准》（GB14554-93）中的恶臭污染物排放标准值。饲料加工粉尘执行执行《大气污染物综合排放标准》（GB16297-1996)二级排放标准。场区无组织废气执行《大气污染物综合排放标准》（GB16297-1996)中新污染源的无组织排放监控浓度值、《恶臭污染物排放标准》（GB14554-93）中二级新扩改建项目厂界标准值和《畜禽养殖业污染物排放标准》（DB33/593-2005）中集约化畜禽养殖业恶臭污染物排放标准中的标准限值。食堂安装油烟净化器，油烟废气执行《饮食业油烟排放标准》（GB18483-2001）的小型标准。</w:t>
      </w:r>
    </w:p>
    <w:p>
      <w:pPr>
        <w:keepNext w:val="0"/>
        <w:keepLines w:val="0"/>
        <w:widowControl/>
        <w:suppressLineNumbers w:val="0"/>
        <w:spacing w:line="360" w:lineRule="auto"/>
        <w:jc w:val="left"/>
        <w:rPr>
          <w:sz w:val="24"/>
          <w:szCs w:val="24"/>
        </w:rPr>
      </w:pPr>
      <w:r>
        <w:rPr>
          <w:rFonts w:hint="eastAsia" w:ascii="宋体" w:hAnsi="宋体" w:eastAsia="宋体" w:cs="宋体"/>
          <w:color w:val="000000"/>
          <w:kern w:val="0"/>
          <w:sz w:val="24"/>
          <w:szCs w:val="24"/>
          <w:lang w:val="en-US" w:eastAsia="zh-CN" w:bidi="ar"/>
        </w:rPr>
        <w:t xml:space="preserve">（三）建设应合理布局，并尽可能选取低噪声设备，对高噪声源须采取有效的隔音、降噪措施，确保本项目营运期各场界噪声达到《工业企业厂界环境噪声排放标准》（GB12348-2008）1 类标准。 </w:t>
      </w:r>
    </w:p>
    <w:p>
      <w:pPr>
        <w:keepNext w:val="0"/>
        <w:keepLines w:val="0"/>
        <w:widowControl/>
        <w:suppressLineNumbers w:val="0"/>
        <w:spacing w:line="360" w:lineRule="auto"/>
        <w:jc w:val="left"/>
        <w:rPr>
          <w:sz w:val="24"/>
          <w:szCs w:val="24"/>
        </w:rPr>
      </w:pPr>
      <w:r>
        <w:rPr>
          <w:rFonts w:hint="eastAsia" w:ascii="宋体" w:hAnsi="宋体" w:eastAsia="宋体" w:cs="宋体"/>
          <w:color w:val="000000"/>
          <w:kern w:val="0"/>
          <w:sz w:val="24"/>
          <w:szCs w:val="24"/>
          <w:lang w:val="en-US" w:eastAsia="zh-CN" w:bidi="ar"/>
        </w:rPr>
        <w:t>（四）按照“资源化、减量化、无害化”处置原则，建 立台账制度，规范设置废物暂存库，固体废物分类收集、堆 放、分质处置，尽可能实现资源的综合利用。需委托处置的危险废物必须委托有相应危废处理资质且具备处理能力的单位进行处置。对委托处置危险废物的必须按照有关规定办理危险废物转移报批手续，严格执行危险废物转移联单制度。严禁委托无危险货物运输资质的单位运输危险废物，严 禁委托无相应危废处理资质的个人和单位处置危险废物，严 禁非法排放、倾倒、处置危险废物。</w:t>
      </w:r>
    </w:p>
    <w:p>
      <w:pPr>
        <w:keepNext w:val="0"/>
        <w:keepLines w:val="0"/>
        <w:widowControl/>
        <w:suppressLineNumbers w:val="0"/>
        <w:spacing w:line="360" w:lineRule="auto"/>
        <w:jc w:val="left"/>
        <w:rPr>
          <w:sz w:val="24"/>
          <w:szCs w:val="24"/>
        </w:rPr>
      </w:pPr>
      <w:r>
        <w:rPr>
          <w:rFonts w:hint="eastAsia" w:ascii="宋体" w:hAnsi="宋体" w:eastAsia="宋体" w:cs="宋体"/>
          <w:color w:val="000000"/>
          <w:kern w:val="0"/>
          <w:sz w:val="24"/>
          <w:szCs w:val="24"/>
          <w:lang w:val="en-US" w:eastAsia="zh-CN" w:bidi="ar"/>
        </w:rPr>
        <w:t xml:space="preserve">四、本项目为农业项目，且废水零排放，无需进行总量调剂。 </w:t>
      </w:r>
    </w:p>
    <w:p>
      <w:pPr>
        <w:keepNext w:val="0"/>
        <w:keepLines w:val="0"/>
        <w:widowControl/>
        <w:suppressLineNumbers w:val="0"/>
        <w:spacing w:line="360" w:lineRule="auto"/>
        <w:jc w:val="left"/>
        <w:rPr>
          <w:sz w:val="24"/>
          <w:szCs w:val="24"/>
        </w:rPr>
      </w:pPr>
      <w:r>
        <w:rPr>
          <w:rFonts w:hint="eastAsia" w:ascii="宋体" w:hAnsi="宋体" w:eastAsia="宋体" w:cs="宋体"/>
          <w:color w:val="000000"/>
          <w:kern w:val="0"/>
          <w:sz w:val="24"/>
          <w:szCs w:val="24"/>
          <w:lang w:val="en-US" w:eastAsia="zh-CN" w:bidi="ar"/>
        </w:rPr>
        <w:t xml:space="preserve">五、落实相关应急措施，防范各类环境事故，保证应急 制度到位、应急设施完好、应急物资配置到位。 </w:t>
      </w:r>
    </w:p>
    <w:p>
      <w:pPr>
        <w:keepNext w:val="0"/>
        <w:keepLines w:val="0"/>
        <w:widowControl/>
        <w:suppressLineNumbers w:val="0"/>
        <w:spacing w:line="360" w:lineRule="auto"/>
        <w:jc w:val="left"/>
        <w:rPr>
          <w:sz w:val="24"/>
          <w:szCs w:val="24"/>
        </w:rPr>
      </w:pPr>
      <w:r>
        <w:rPr>
          <w:rFonts w:hint="eastAsia" w:ascii="宋体" w:hAnsi="宋体" w:eastAsia="宋体" w:cs="宋体"/>
          <w:color w:val="000000"/>
          <w:kern w:val="0"/>
          <w:sz w:val="24"/>
          <w:szCs w:val="24"/>
          <w:lang w:val="en-US" w:eastAsia="zh-CN" w:bidi="ar"/>
        </w:rPr>
        <w:t xml:space="preserve">六、施工废水经沉淀后回用。尽量避免露天堆放粉性物料；施工运输车辆进出场地减速慢行；施工场地定期洒水抑 尘；禁止设置搅拌站。施工期间必须按照《建筑施工场界环 境噪声排放标准》（GB12523-2011）对施工时间、施工噪声进行控制。在噪声敏感地段施工时，合理调配时间，避免在 附近居民休息时间施工和运输，禁止夜间作业（晚 22：00- 凌晨 6:00）。 </w:t>
      </w:r>
    </w:p>
    <w:p>
      <w:pPr>
        <w:keepNext w:val="0"/>
        <w:keepLines w:val="0"/>
        <w:widowControl/>
        <w:suppressLineNumbers w:val="0"/>
        <w:spacing w:line="360" w:lineRule="auto"/>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七、若项目的性质、规模、地点或者防治污染、防止生态破坏的措施发生重大变动的，应依法重新报批项目环评文件。自批准之日起满 5 年，项目方开工建设的，其环评文件应当报我局重新审核。在项目建设、运行过程中产生不符合经审批的环评文件情形的，应依法办理相关环保手续。</w:t>
      </w:r>
    </w:p>
    <w:p>
      <w:pPr>
        <w:keepNext w:val="0"/>
        <w:keepLines w:val="0"/>
        <w:widowControl/>
        <w:suppressLineNumbers w:val="0"/>
        <w:spacing w:line="360" w:lineRule="auto"/>
        <w:jc w:val="left"/>
        <w:rPr>
          <w:rFonts w:hint="eastAsia" w:asciiTheme="minorEastAsia" w:hAnsiTheme="minorEastAsia" w:eastAsiaTheme="minorEastAsia" w:cstheme="minorEastAsia"/>
          <w:b/>
          <w:bCs/>
          <w:sz w:val="32"/>
          <w:szCs w:val="32"/>
          <w:lang w:val="en-US" w:eastAsia="zh-CN"/>
        </w:rPr>
      </w:pPr>
      <w:r>
        <w:rPr>
          <w:rFonts w:hint="eastAsia" w:ascii="宋体" w:hAnsi="宋体" w:eastAsia="宋体" w:cs="宋体"/>
          <w:color w:val="000000"/>
          <w:kern w:val="0"/>
          <w:sz w:val="24"/>
          <w:szCs w:val="24"/>
          <w:lang w:val="en-US" w:eastAsia="zh-CN" w:bidi="ar"/>
        </w:rPr>
        <w:t>以上意见和《报告书》中提出的污染防治措施和风险防范措施，你单位应在项目设计、建设、运营和管理中认真予以落实，确保项目建设运营过程中的环境安全和社会稳定。 在项目投入生产或使用前，依法对环保设施进行验收，未经验收或者验收不合格的，不得投入生产或者使用，项目建设期和环境日常监督管理工作由衢州市生态环境局衢江生态环境分局负责。同时你单位须按规定接受各级生态环境部门的监督检查。</w:t>
      </w:r>
    </w:p>
    <w:p>
      <w:pPr>
        <w:bidi w:val="0"/>
        <w:ind w:left="0" w:leftChars="0" w:firstLine="0" w:firstLineChars="0"/>
        <w:outlineLvl w:val="0"/>
        <w:rPr>
          <w:rFonts w:hint="eastAsia" w:asciiTheme="minorEastAsia" w:hAnsiTheme="minorEastAsia" w:eastAsiaTheme="minorEastAsia" w:cstheme="minorEastAsia"/>
          <w:b/>
          <w:bCs/>
          <w:sz w:val="30"/>
          <w:szCs w:val="30"/>
          <w:lang w:val="en-US" w:eastAsia="zh-CN"/>
        </w:rPr>
      </w:pPr>
      <w:bookmarkStart w:id="113" w:name="_Toc5549"/>
      <w:r>
        <w:rPr>
          <w:rFonts w:hint="eastAsia" w:asciiTheme="minorEastAsia" w:hAnsiTheme="minorEastAsia" w:eastAsiaTheme="minorEastAsia" w:cstheme="minorEastAsia"/>
          <w:b/>
          <w:bCs/>
          <w:sz w:val="30"/>
          <w:szCs w:val="30"/>
          <w:lang w:val="en-US" w:eastAsia="zh-CN"/>
        </w:rPr>
        <w:t>5、验收执行标准</w:t>
      </w:r>
      <w:bookmarkEnd w:id="113"/>
    </w:p>
    <w:p>
      <w:pPr>
        <w:spacing w:line="360" w:lineRule="auto"/>
        <w:ind w:left="0" w:leftChars="0" w:firstLine="480" w:firstLineChars="200"/>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根据项目环境影响报告书，环评批复要求和实际情况，本项目验收监测执行标准如下。</w:t>
      </w:r>
    </w:p>
    <w:p>
      <w:pPr>
        <w:spacing w:line="360" w:lineRule="auto"/>
        <w:ind w:left="0" w:leftChars="0" w:firstLine="0" w:firstLineChars="0"/>
        <w:rPr>
          <w:rFonts w:hint="eastAsia" w:asciiTheme="minorEastAsia" w:hAnsiTheme="minorEastAsia" w:eastAsiaTheme="minorEastAsia" w:cstheme="minorEastAsia"/>
          <w:b w:val="0"/>
          <w:bCs w:val="0"/>
          <w:sz w:val="24"/>
          <w:szCs w:val="24"/>
          <w:lang w:val="en-US" w:eastAsia="zh-CN"/>
        </w:rPr>
      </w:pPr>
      <w:r>
        <w:rPr>
          <w:rFonts w:hint="eastAsia" w:ascii="宋体" w:hAnsi="宋体" w:eastAsia="宋体" w:cs="宋体"/>
          <w:b w:val="0"/>
          <w:bCs w:val="0"/>
          <w:sz w:val="24"/>
          <w:szCs w:val="24"/>
          <w:lang w:val="en-US" w:eastAsia="zh-CN"/>
        </w:rPr>
        <w:t>⑴</w:t>
      </w:r>
      <w:r>
        <w:rPr>
          <w:rFonts w:hint="eastAsia" w:asciiTheme="minorEastAsia" w:hAnsiTheme="minorEastAsia" w:eastAsiaTheme="minorEastAsia" w:cstheme="minorEastAsia"/>
          <w:b w:val="0"/>
          <w:bCs w:val="0"/>
          <w:sz w:val="24"/>
          <w:szCs w:val="24"/>
          <w:lang w:val="en-US" w:eastAsia="zh-CN"/>
        </w:rPr>
        <w:t xml:space="preserve"> 废气执行标准</w:t>
      </w:r>
    </w:p>
    <w:p>
      <w:pPr>
        <w:spacing w:line="360" w:lineRule="auto"/>
        <w:ind w:left="0" w:leftChars="0"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val="0"/>
          <w:bCs w:val="0"/>
          <w:sz w:val="24"/>
          <w:szCs w:val="24"/>
          <w:lang w:val="en-US" w:eastAsia="zh-CN"/>
        </w:rPr>
        <w:t>项目废气污染物主要为有组织排放和无组织排放，排放的主要污染物为颗粒物、NH</w:t>
      </w:r>
      <w:r>
        <w:rPr>
          <w:rFonts w:hint="eastAsia" w:asciiTheme="minorEastAsia" w:hAnsiTheme="minorEastAsia" w:eastAsiaTheme="minorEastAsia" w:cstheme="minorEastAsia"/>
          <w:b w:val="0"/>
          <w:bCs w:val="0"/>
          <w:sz w:val="24"/>
          <w:szCs w:val="24"/>
          <w:vertAlign w:val="subscript"/>
          <w:lang w:val="en-US" w:eastAsia="zh-CN"/>
        </w:rPr>
        <w:t>3</w:t>
      </w:r>
      <w:r>
        <w:rPr>
          <w:rFonts w:hint="eastAsia" w:asciiTheme="minorEastAsia" w:hAnsiTheme="minorEastAsia" w:eastAsiaTheme="minorEastAsia" w:cstheme="minorEastAsia"/>
          <w:b w:val="0"/>
          <w:bCs w:val="0"/>
          <w:sz w:val="24"/>
          <w:szCs w:val="24"/>
          <w:lang w:val="en-US" w:eastAsia="zh-CN"/>
        </w:rPr>
        <w:t>、H</w:t>
      </w:r>
      <w:r>
        <w:rPr>
          <w:rFonts w:hint="eastAsia" w:asciiTheme="minorEastAsia" w:hAnsiTheme="minorEastAsia" w:eastAsiaTheme="minorEastAsia" w:cstheme="minorEastAsia"/>
          <w:b w:val="0"/>
          <w:bCs w:val="0"/>
          <w:sz w:val="24"/>
          <w:szCs w:val="24"/>
          <w:vertAlign w:val="subscript"/>
          <w:lang w:val="en-US" w:eastAsia="zh-CN"/>
        </w:rPr>
        <w:t>2</w:t>
      </w:r>
      <w:r>
        <w:rPr>
          <w:rFonts w:hint="eastAsia" w:asciiTheme="minorEastAsia" w:hAnsiTheme="minorEastAsia" w:eastAsiaTheme="minorEastAsia" w:cstheme="minorEastAsia"/>
          <w:b w:val="0"/>
          <w:bCs w:val="0"/>
          <w:sz w:val="24"/>
          <w:szCs w:val="24"/>
          <w:lang w:val="en-US" w:eastAsia="zh-CN"/>
        </w:rPr>
        <w:t>S、臭气浓度等，本次验收监测大气评价标准祥见下表；</w:t>
      </w:r>
    </w:p>
    <w:p>
      <w:pPr>
        <w:spacing w:line="360" w:lineRule="auto"/>
        <w:ind w:firstLine="48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Cs/>
          <w:sz w:val="24"/>
          <w:szCs w:val="24"/>
        </w:rPr>
        <w:t>本项目</w:t>
      </w:r>
      <w:r>
        <w:rPr>
          <w:rFonts w:hint="eastAsia" w:asciiTheme="minorEastAsia" w:hAnsiTheme="minorEastAsia" w:eastAsiaTheme="minorEastAsia" w:cstheme="minorEastAsia"/>
          <w:bCs/>
          <w:sz w:val="24"/>
          <w:szCs w:val="24"/>
          <w:lang w:val="en-US" w:eastAsia="zh-CN"/>
        </w:rPr>
        <w:t>有组织废气中</w:t>
      </w:r>
      <w:r>
        <w:rPr>
          <w:rFonts w:hint="eastAsia" w:asciiTheme="minorEastAsia" w:hAnsiTheme="minorEastAsia" w:eastAsiaTheme="minorEastAsia" w:cstheme="minorEastAsia"/>
          <w:bCs/>
          <w:sz w:val="24"/>
          <w:szCs w:val="24"/>
        </w:rPr>
        <w:t>颗粒物执行《大气污染物综合排放标准》（GB16297-1996）中表2新污染源大气污染物排放限值</w:t>
      </w:r>
      <w:r>
        <w:rPr>
          <w:rFonts w:hint="eastAsia" w:asciiTheme="minorEastAsia" w:hAnsiTheme="minorEastAsia" w:eastAsiaTheme="minorEastAsia" w:cstheme="minorEastAsia"/>
          <w:bCs/>
          <w:sz w:val="24"/>
          <w:szCs w:val="24"/>
          <w:lang w:eastAsia="zh-CN"/>
        </w:rPr>
        <w:t>；</w:t>
      </w:r>
      <w:r>
        <w:rPr>
          <w:rFonts w:hint="eastAsia" w:asciiTheme="minorEastAsia" w:hAnsiTheme="minorEastAsia" w:eastAsiaTheme="minorEastAsia" w:cstheme="minorEastAsia"/>
          <w:sz w:val="24"/>
          <w:szCs w:val="24"/>
          <w:lang w:val="en-US" w:eastAsia="zh-CN"/>
        </w:rPr>
        <w:t>无组织废气中</w:t>
      </w:r>
      <w:r>
        <w:rPr>
          <w:rFonts w:hint="eastAsia" w:asciiTheme="minorEastAsia" w:hAnsiTheme="minorEastAsia" w:eastAsiaTheme="minorEastAsia" w:cstheme="minorEastAsia"/>
          <w:bCs/>
          <w:sz w:val="24"/>
          <w:szCs w:val="24"/>
        </w:rPr>
        <w:t>颗粒物执行《大气污染物综合排放标准》（GB16297-1996）中表2新污染源大气污染物</w:t>
      </w:r>
      <w:r>
        <w:rPr>
          <w:rFonts w:hint="eastAsia" w:asciiTheme="minorEastAsia" w:hAnsiTheme="minorEastAsia" w:eastAsiaTheme="minorEastAsia" w:cstheme="minorEastAsia"/>
          <w:sz w:val="24"/>
          <w:szCs w:val="24"/>
          <w:vertAlign w:val="baseline"/>
          <w:lang w:val="en-US" w:eastAsia="zh-CN"/>
        </w:rPr>
        <w:t>的无组织排放监控浓度值</w:t>
      </w:r>
      <w:r>
        <w:rPr>
          <w:rFonts w:hint="eastAsia" w:asciiTheme="minorEastAsia" w:hAnsiTheme="minorEastAsia" w:eastAsiaTheme="minorEastAsia" w:cstheme="minorEastAsia"/>
          <w:bCs/>
          <w:sz w:val="24"/>
          <w:szCs w:val="24"/>
          <w:lang w:eastAsia="zh-CN"/>
        </w:rPr>
        <w:t>；</w:t>
      </w:r>
      <w:r>
        <w:rPr>
          <w:rFonts w:hint="eastAsia" w:asciiTheme="minorEastAsia" w:hAnsiTheme="minorEastAsia" w:eastAsiaTheme="minorEastAsia" w:cstheme="minorEastAsia"/>
          <w:sz w:val="24"/>
          <w:szCs w:val="24"/>
          <w:vertAlign w:val="baseline"/>
          <w:lang w:val="en-US" w:eastAsia="zh-CN"/>
        </w:rPr>
        <w:t>氨、硫化氢排放</w:t>
      </w:r>
      <w:r>
        <w:rPr>
          <w:rFonts w:hint="eastAsia" w:asciiTheme="minorEastAsia" w:hAnsiTheme="minorEastAsia" w:eastAsiaTheme="minorEastAsia" w:cstheme="minorEastAsia"/>
          <w:sz w:val="24"/>
          <w:szCs w:val="24"/>
          <w:lang w:val="en-US" w:eastAsia="zh-CN"/>
        </w:rPr>
        <w:t>执行</w:t>
      </w:r>
      <w:r>
        <w:rPr>
          <w:rFonts w:hint="eastAsia" w:asciiTheme="minorEastAsia" w:hAnsiTheme="minorEastAsia" w:eastAsiaTheme="minorEastAsia" w:cstheme="minorEastAsia"/>
          <w:sz w:val="24"/>
          <w:szCs w:val="24"/>
          <w:vertAlign w:val="baseline"/>
          <w:lang w:val="en-US" w:eastAsia="zh-CN"/>
        </w:rPr>
        <w:t>《恶臭污染物排放标准》（GB14554-93）中表1中二级新扩改建项目厂界标准值；</w:t>
      </w:r>
      <w:r>
        <w:rPr>
          <w:rFonts w:hint="eastAsia" w:asciiTheme="minorEastAsia" w:hAnsiTheme="minorEastAsia" w:eastAsiaTheme="minorEastAsia" w:cstheme="minorEastAsia"/>
          <w:sz w:val="24"/>
          <w:szCs w:val="24"/>
          <w:lang w:val="en-US" w:eastAsia="zh-CN"/>
        </w:rPr>
        <w:t>臭气浓度执行</w:t>
      </w:r>
      <w:r>
        <w:rPr>
          <w:rFonts w:hint="eastAsia" w:asciiTheme="minorEastAsia" w:hAnsiTheme="minorEastAsia" w:eastAsiaTheme="minorEastAsia" w:cstheme="minorEastAsia"/>
          <w:sz w:val="24"/>
          <w:szCs w:val="24"/>
          <w:vertAlign w:val="baseline"/>
          <w:lang w:val="en-US" w:eastAsia="zh-CN"/>
        </w:rPr>
        <w:t>《畜禽养殖业污染物排放标准》（DB33/593-2005）表7集约化畜禽养殖业恶臭污染物排放标准</w:t>
      </w:r>
      <w:r>
        <w:rPr>
          <w:rFonts w:hint="eastAsia" w:asciiTheme="minorEastAsia" w:hAnsiTheme="minorEastAsia" w:eastAsiaTheme="minorEastAsia" w:cstheme="minorEastAsia"/>
          <w:sz w:val="24"/>
          <w:szCs w:val="24"/>
          <w:lang w:val="en-US" w:eastAsia="zh-CN"/>
        </w:rPr>
        <w:t>。执行标准见下表。</w:t>
      </w:r>
    </w:p>
    <w:p>
      <w:pPr>
        <w:spacing w:line="360" w:lineRule="auto"/>
        <w:ind w:firstLine="2160" w:firstLineChars="9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表</w:t>
      </w:r>
      <w:r>
        <w:rPr>
          <w:rFonts w:hint="default" w:asciiTheme="minorEastAsia" w:hAnsiTheme="minorEastAsia" w:eastAsiaTheme="minorEastAsia" w:cstheme="minorEastAsia"/>
          <w:sz w:val="24"/>
          <w:szCs w:val="24"/>
          <w:lang w:eastAsia="zh-CN"/>
        </w:rPr>
        <w:t>5-1</w:t>
      </w:r>
      <w:r>
        <w:rPr>
          <w:rFonts w:hint="eastAsia" w:asciiTheme="minorEastAsia" w:hAnsiTheme="minorEastAsia" w:eastAsiaTheme="minorEastAsia" w:cstheme="minorEastAsia"/>
          <w:sz w:val="24"/>
          <w:szCs w:val="24"/>
          <w:lang w:val="en-US" w:eastAsia="zh-CN"/>
        </w:rPr>
        <w:t xml:space="preserve">  废气污染物排放标准</w:t>
      </w:r>
    </w:p>
    <w:tbl>
      <w:tblPr>
        <w:tblStyle w:val="24"/>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5"/>
        <w:gridCol w:w="872"/>
        <w:gridCol w:w="1430"/>
        <w:gridCol w:w="45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vAlign w:val="center"/>
          </w:tcPr>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废气排放源</w:t>
            </w:r>
          </w:p>
        </w:tc>
        <w:tc>
          <w:tcPr>
            <w:tcW w:w="872" w:type="dxa"/>
            <w:vAlign w:val="center"/>
          </w:tcPr>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排气筒</w:t>
            </w:r>
          </w:p>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编号</w:t>
            </w:r>
          </w:p>
        </w:tc>
        <w:tc>
          <w:tcPr>
            <w:tcW w:w="1430" w:type="dxa"/>
            <w:vAlign w:val="center"/>
          </w:tcPr>
          <w:p>
            <w:pPr>
              <w:bidi w:val="0"/>
              <w:spacing w:line="240" w:lineRule="auto"/>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污染因子</w:t>
            </w:r>
          </w:p>
        </w:tc>
        <w:tc>
          <w:tcPr>
            <w:tcW w:w="4523" w:type="dxa"/>
            <w:vAlign w:val="center"/>
          </w:tcPr>
          <w:p>
            <w:pPr>
              <w:bidi w:val="0"/>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vAlign w:val="center"/>
          </w:tcPr>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饲料加工粉尘</w:t>
            </w:r>
          </w:p>
        </w:tc>
        <w:tc>
          <w:tcPr>
            <w:tcW w:w="872" w:type="dxa"/>
            <w:vAlign w:val="center"/>
          </w:tcPr>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DA001</w:t>
            </w:r>
          </w:p>
        </w:tc>
        <w:tc>
          <w:tcPr>
            <w:tcW w:w="1430" w:type="dxa"/>
            <w:vAlign w:val="center"/>
          </w:tcPr>
          <w:p>
            <w:pPr>
              <w:bidi w:val="0"/>
              <w:spacing w:line="240" w:lineRule="auto"/>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颗粒物</w:t>
            </w:r>
          </w:p>
        </w:tc>
        <w:tc>
          <w:tcPr>
            <w:tcW w:w="4523" w:type="dxa"/>
            <w:vAlign w:val="center"/>
          </w:tcPr>
          <w:p>
            <w:pPr>
              <w:bidi w:val="0"/>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《大气污染物综合排放标准》（GB16297-1996）表中二级排放标准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7" w:type="dxa"/>
            <w:gridSpan w:val="2"/>
            <w:vMerge w:val="restart"/>
            <w:vAlign w:val="center"/>
          </w:tcPr>
          <w:p>
            <w:pPr>
              <w:bidi w:val="0"/>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厂界无组织</w:t>
            </w:r>
          </w:p>
        </w:tc>
        <w:tc>
          <w:tcPr>
            <w:tcW w:w="1430" w:type="dxa"/>
            <w:vAlign w:val="center"/>
          </w:tcPr>
          <w:p>
            <w:pPr>
              <w:bidi w:val="0"/>
              <w:spacing w:line="240" w:lineRule="auto"/>
              <w:ind w:left="0" w:leftChars="0" w:firstLine="210" w:firstLineChars="100"/>
              <w:jc w:val="both"/>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颗粒物</w:t>
            </w:r>
          </w:p>
        </w:tc>
        <w:tc>
          <w:tcPr>
            <w:tcW w:w="4523" w:type="dxa"/>
            <w:vAlign w:val="center"/>
          </w:tcPr>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《大气污染物综合排放标准》（GB16297-1996）中新污染源的无组织排放监控浓度值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7" w:type="dxa"/>
            <w:gridSpan w:val="2"/>
            <w:vMerge w:val="continue"/>
            <w:vAlign w:val="center"/>
          </w:tcPr>
          <w:p>
            <w:pPr>
              <w:bidi w:val="0"/>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1430" w:type="dxa"/>
            <w:vAlign w:val="center"/>
          </w:tcPr>
          <w:p>
            <w:pPr>
              <w:bidi w:val="0"/>
              <w:spacing w:line="240" w:lineRule="auto"/>
              <w:ind w:left="0" w:leftChars="0" w:firstLine="210" w:firstLineChars="100"/>
              <w:jc w:val="both"/>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氨、硫化氢</w:t>
            </w:r>
          </w:p>
        </w:tc>
        <w:tc>
          <w:tcPr>
            <w:tcW w:w="4523" w:type="dxa"/>
            <w:vAlign w:val="center"/>
          </w:tcPr>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《恶臭污染物排放标准》（GB14554-93）中表1中二级新扩改建项目厂界标准值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7" w:type="dxa"/>
            <w:gridSpan w:val="2"/>
            <w:vMerge w:val="continue"/>
            <w:vAlign w:val="center"/>
          </w:tcPr>
          <w:p>
            <w:pPr>
              <w:bidi w:val="0"/>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1430" w:type="dxa"/>
            <w:vAlign w:val="center"/>
          </w:tcPr>
          <w:p>
            <w:pPr>
              <w:bidi w:val="0"/>
              <w:spacing w:line="240" w:lineRule="auto"/>
              <w:ind w:left="0" w:leftChars="0" w:firstLine="210" w:firstLineChars="100"/>
              <w:jc w:val="both"/>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臭气浓度</w:t>
            </w:r>
          </w:p>
        </w:tc>
        <w:tc>
          <w:tcPr>
            <w:tcW w:w="4523" w:type="dxa"/>
            <w:vAlign w:val="center"/>
          </w:tcPr>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《畜禽养殖业污染物排放标准》（DB33/593-2005）表7集约化畜禽养殖业恶臭污染物排放标准</w:t>
            </w:r>
          </w:p>
        </w:tc>
      </w:tr>
    </w:tbl>
    <w:p>
      <w:pPr>
        <w:bidi w:val="0"/>
        <w:ind w:left="0" w:leftChars="0" w:firstLine="0" w:firstLineChars="0"/>
        <w:rPr>
          <w:rFonts w:hint="default"/>
          <w:lang w:val="en-US" w:eastAsia="zh-CN"/>
        </w:rPr>
      </w:pPr>
    </w:p>
    <w:p>
      <w:pPr>
        <w:bidi w:val="0"/>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lang w:val="en-US" w:eastAsia="zh-CN"/>
        </w:rPr>
        <w:t>表</w:t>
      </w:r>
      <w:r>
        <w:rPr>
          <w:rFonts w:hint="default" w:asciiTheme="minorEastAsia" w:hAnsiTheme="minorEastAsia" w:eastAsiaTheme="minorEastAsia" w:cstheme="minorEastAsia"/>
          <w:lang w:eastAsia="zh-CN"/>
        </w:rPr>
        <w:t>5-2</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vertAlign w:val="baseline"/>
          <w:lang w:val="en-US" w:eastAsia="zh-CN"/>
        </w:rPr>
        <w:t>大气污染物综合排放标准》（GB16297-1996）表中二级排放标准</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7"/>
        <w:gridCol w:w="1543"/>
        <w:gridCol w:w="1627"/>
        <w:gridCol w:w="1040"/>
        <w:gridCol w:w="1466"/>
        <w:gridCol w:w="1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7" w:type="dxa"/>
            <w:vMerge w:val="restart"/>
            <w:vAlign w:val="center"/>
          </w:tcPr>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污染物</w:t>
            </w:r>
          </w:p>
        </w:tc>
        <w:tc>
          <w:tcPr>
            <w:tcW w:w="1543" w:type="dxa"/>
            <w:vMerge w:val="restart"/>
            <w:vAlign w:val="center"/>
          </w:tcPr>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最高允许排放浓度(mg/m3)</w:t>
            </w:r>
          </w:p>
        </w:tc>
        <w:tc>
          <w:tcPr>
            <w:tcW w:w="2667" w:type="dxa"/>
            <w:gridSpan w:val="2"/>
            <w:vAlign w:val="center"/>
          </w:tcPr>
          <w:p>
            <w:pPr>
              <w:bidi w:val="0"/>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最高允许排放速率（kg/h）</w:t>
            </w:r>
          </w:p>
        </w:tc>
        <w:tc>
          <w:tcPr>
            <w:tcW w:w="2881" w:type="dxa"/>
            <w:gridSpan w:val="2"/>
            <w:vAlign w:val="center"/>
          </w:tcPr>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7" w:type="dxa"/>
            <w:vMerge w:val="continue"/>
            <w:vAlign w:val="center"/>
          </w:tcPr>
          <w:p>
            <w:pPr>
              <w:bidi w:val="0"/>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1543" w:type="dxa"/>
            <w:vMerge w:val="continue"/>
            <w:vAlign w:val="center"/>
          </w:tcPr>
          <w:p>
            <w:pPr>
              <w:bidi w:val="0"/>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1627" w:type="dxa"/>
            <w:vAlign w:val="center"/>
          </w:tcPr>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排气筒高度（m）</w:t>
            </w:r>
          </w:p>
        </w:tc>
        <w:tc>
          <w:tcPr>
            <w:tcW w:w="1040" w:type="dxa"/>
            <w:vAlign w:val="center"/>
          </w:tcPr>
          <w:p>
            <w:pPr>
              <w:bidi w:val="0"/>
              <w:spacing w:line="240" w:lineRule="auto"/>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二级</w:t>
            </w:r>
          </w:p>
        </w:tc>
        <w:tc>
          <w:tcPr>
            <w:tcW w:w="1466" w:type="dxa"/>
            <w:vAlign w:val="center"/>
          </w:tcPr>
          <w:p>
            <w:pPr>
              <w:bidi w:val="0"/>
              <w:spacing w:line="240" w:lineRule="auto"/>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监控点</w:t>
            </w:r>
          </w:p>
        </w:tc>
        <w:tc>
          <w:tcPr>
            <w:tcW w:w="1415" w:type="dxa"/>
            <w:vAlign w:val="center"/>
          </w:tcPr>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浓度（mg/m3）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7" w:type="dxa"/>
            <w:vAlign w:val="center"/>
          </w:tcPr>
          <w:p>
            <w:pPr>
              <w:bidi w:val="0"/>
              <w:spacing w:line="240" w:lineRule="auto"/>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颗粒物</w:t>
            </w:r>
          </w:p>
        </w:tc>
        <w:tc>
          <w:tcPr>
            <w:tcW w:w="1543" w:type="dxa"/>
            <w:vAlign w:val="center"/>
          </w:tcPr>
          <w:p>
            <w:pPr>
              <w:bidi w:val="0"/>
              <w:spacing w:line="240" w:lineRule="auto"/>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120</w:t>
            </w:r>
          </w:p>
        </w:tc>
        <w:tc>
          <w:tcPr>
            <w:tcW w:w="1627" w:type="dxa"/>
            <w:vAlign w:val="center"/>
          </w:tcPr>
          <w:p>
            <w:pPr>
              <w:bidi w:val="0"/>
              <w:spacing w:line="240" w:lineRule="auto"/>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15</w:t>
            </w:r>
          </w:p>
        </w:tc>
        <w:tc>
          <w:tcPr>
            <w:tcW w:w="1040" w:type="dxa"/>
            <w:vAlign w:val="center"/>
          </w:tcPr>
          <w:p>
            <w:pPr>
              <w:bidi w:val="0"/>
              <w:spacing w:line="240" w:lineRule="auto"/>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3.5</w:t>
            </w:r>
          </w:p>
        </w:tc>
        <w:tc>
          <w:tcPr>
            <w:tcW w:w="1466" w:type="dxa"/>
            <w:vAlign w:val="center"/>
          </w:tcPr>
          <w:p>
            <w:pPr>
              <w:bidi w:val="0"/>
              <w:spacing w:line="240" w:lineRule="auto"/>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周界外浓度最高点</w:t>
            </w:r>
          </w:p>
        </w:tc>
        <w:tc>
          <w:tcPr>
            <w:tcW w:w="1415" w:type="dxa"/>
            <w:vAlign w:val="center"/>
          </w:tcPr>
          <w:p>
            <w:pPr>
              <w:bidi w:val="0"/>
              <w:spacing w:line="240" w:lineRule="auto"/>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1.00</w:t>
            </w:r>
          </w:p>
        </w:tc>
      </w:tr>
    </w:tbl>
    <w:p>
      <w:pPr>
        <w:bidi w:val="0"/>
        <w:ind w:left="0" w:leftChars="0" w:firstLine="0" w:firstLineChars="0"/>
        <w:rPr>
          <w:rFonts w:hint="eastAsia"/>
          <w:sz w:val="24"/>
          <w:szCs w:val="24"/>
          <w:lang w:val="en-US" w:eastAsia="zh-CN"/>
        </w:rPr>
      </w:pPr>
    </w:p>
    <w:p>
      <w:pPr>
        <w:bidi w:val="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表</w:t>
      </w:r>
      <w:r>
        <w:rPr>
          <w:rFonts w:hint="default" w:asciiTheme="minorEastAsia" w:hAnsiTheme="minorEastAsia" w:eastAsiaTheme="minorEastAsia" w:cstheme="minorEastAsia"/>
          <w:sz w:val="24"/>
          <w:szCs w:val="24"/>
          <w:lang w:eastAsia="zh-CN"/>
        </w:rPr>
        <w:t>5-3</w:t>
      </w:r>
      <w:r>
        <w:rPr>
          <w:rFonts w:hint="eastAsia" w:asciiTheme="minorEastAsia" w:hAnsiTheme="minorEastAsia" w:eastAsiaTheme="minorEastAsia" w:cstheme="minorEastAsia"/>
          <w:sz w:val="24"/>
          <w:szCs w:val="24"/>
          <w:lang w:val="en-US" w:eastAsia="zh-CN"/>
        </w:rPr>
        <w:t xml:space="preserve">  恶臭污染物厂界标准值 （GB14554-93）</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1960"/>
        <w:gridCol w:w="1704"/>
        <w:gridCol w:w="1858"/>
        <w:gridCol w:w="2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dxa"/>
            <w:vMerge w:val="restart"/>
            <w:vAlign w:val="center"/>
          </w:tcPr>
          <w:p>
            <w:pPr>
              <w:bidi w:val="0"/>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序号</w:t>
            </w:r>
          </w:p>
        </w:tc>
        <w:tc>
          <w:tcPr>
            <w:tcW w:w="1960" w:type="dxa"/>
            <w:vMerge w:val="restart"/>
            <w:vAlign w:val="center"/>
          </w:tcPr>
          <w:p>
            <w:pPr>
              <w:bidi w:val="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污染物</w:t>
            </w:r>
          </w:p>
        </w:tc>
        <w:tc>
          <w:tcPr>
            <w:tcW w:w="1704" w:type="dxa"/>
            <w:vMerge w:val="restart"/>
            <w:vAlign w:val="center"/>
          </w:tcPr>
          <w:p>
            <w:pPr>
              <w:bidi w:val="0"/>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排气筒高度（m）</w:t>
            </w:r>
          </w:p>
        </w:tc>
        <w:tc>
          <w:tcPr>
            <w:tcW w:w="1858" w:type="dxa"/>
            <w:vAlign w:val="center"/>
          </w:tcPr>
          <w:p>
            <w:pPr>
              <w:bidi w:val="0"/>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排放速率（kg/h）</w:t>
            </w:r>
          </w:p>
        </w:tc>
        <w:tc>
          <w:tcPr>
            <w:tcW w:w="2207" w:type="dxa"/>
            <w:vMerge w:val="restart"/>
            <w:vAlign w:val="center"/>
          </w:tcPr>
          <w:p>
            <w:pPr>
              <w:bidi w:val="0"/>
              <w:spacing w:line="240" w:lineRule="auto"/>
              <w:ind w:left="420" w:leftChars="0" w:hanging="420" w:hangingChars="2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二级厂界标准(mg/m3)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665" w:type="dxa"/>
            <w:vMerge w:val="continue"/>
            <w:vAlign w:val="center"/>
          </w:tcPr>
          <w:p>
            <w:pPr>
              <w:bidi w:val="0"/>
              <w:jc w:val="center"/>
              <w:rPr>
                <w:rFonts w:hint="eastAsia" w:asciiTheme="minorEastAsia" w:hAnsiTheme="minorEastAsia" w:eastAsiaTheme="minorEastAsia" w:cstheme="minorEastAsia"/>
                <w:sz w:val="21"/>
                <w:szCs w:val="21"/>
                <w:vertAlign w:val="baseline"/>
                <w:lang w:val="en-US" w:eastAsia="zh-CN"/>
              </w:rPr>
            </w:pPr>
          </w:p>
        </w:tc>
        <w:tc>
          <w:tcPr>
            <w:tcW w:w="1960" w:type="dxa"/>
            <w:vMerge w:val="continue"/>
            <w:vAlign w:val="center"/>
          </w:tcPr>
          <w:p>
            <w:pPr>
              <w:bidi w:val="0"/>
              <w:jc w:val="center"/>
              <w:rPr>
                <w:rFonts w:hint="eastAsia" w:asciiTheme="minorEastAsia" w:hAnsiTheme="minorEastAsia" w:eastAsiaTheme="minorEastAsia" w:cstheme="minorEastAsia"/>
                <w:sz w:val="21"/>
                <w:szCs w:val="21"/>
                <w:vertAlign w:val="baseline"/>
                <w:lang w:val="en-US" w:eastAsia="zh-CN"/>
              </w:rPr>
            </w:pPr>
          </w:p>
        </w:tc>
        <w:tc>
          <w:tcPr>
            <w:tcW w:w="1704" w:type="dxa"/>
            <w:vMerge w:val="continue"/>
            <w:vAlign w:val="center"/>
          </w:tcPr>
          <w:p>
            <w:pPr>
              <w:bidi w:val="0"/>
              <w:jc w:val="center"/>
              <w:rPr>
                <w:rFonts w:hint="eastAsia" w:asciiTheme="minorEastAsia" w:hAnsiTheme="minorEastAsia" w:eastAsiaTheme="minorEastAsia" w:cstheme="minorEastAsia"/>
                <w:sz w:val="21"/>
                <w:szCs w:val="21"/>
                <w:vertAlign w:val="baseline"/>
                <w:lang w:val="en-US" w:eastAsia="zh-CN"/>
              </w:rPr>
            </w:pPr>
          </w:p>
        </w:tc>
        <w:tc>
          <w:tcPr>
            <w:tcW w:w="1858" w:type="dxa"/>
            <w:vAlign w:val="center"/>
          </w:tcPr>
          <w:p>
            <w:pPr>
              <w:bidi w:val="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二级</w:t>
            </w:r>
          </w:p>
        </w:tc>
        <w:tc>
          <w:tcPr>
            <w:tcW w:w="2207" w:type="dxa"/>
            <w:vMerge w:val="continue"/>
            <w:vAlign w:val="center"/>
          </w:tcPr>
          <w:p>
            <w:pPr>
              <w:bidi w:val="0"/>
              <w:jc w:val="center"/>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dxa"/>
            <w:vAlign w:val="center"/>
          </w:tcPr>
          <w:p>
            <w:pPr>
              <w:bidi w:val="0"/>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w:t>
            </w:r>
          </w:p>
        </w:tc>
        <w:tc>
          <w:tcPr>
            <w:tcW w:w="1960" w:type="dxa"/>
            <w:vAlign w:val="center"/>
          </w:tcPr>
          <w:p>
            <w:pPr>
              <w:bidi w:val="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氨</w:t>
            </w:r>
          </w:p>
        </w:tc>
        <w:tc>
          <w:tcPr>
            <w:tcW w:w="1704" w:type="dxa"/>
            <w:vAlign w:val="center"/>
          </w:tcPr>
          <w:p>
            <w:pPr>
              <w:bidi w:val="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15</w:t>
            </w:r>
          </w:p>
        </w:tc>
        <w:tc>
          <w:tcPr>
            <w:tcW w:w="1858" w:type="dxa"/>
            <w:vAlign w:val="center"/>
          </w:tcPr>
          <w:p>
            <w:pPr>
              <w:bidi w:val="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4.9</w:t>
            </w:r>
          </w:p>
        </w:tc>
        <w:tc>
          <w:tcPr>
            <w:tcW w:w="2207" w:type="dxa"/>
            <w:vAlign w:val="center"/>
          </w:tcPr>
          <w:p>
            <w:pPr>
              <w:bidi w:val="0"/>
              <w:ind w:firstLine="630" w:firstLineChars="3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665" w:type="dxa"/>
            <w:vAlign w:val="center"/>
          </w:tcPr>
          <w:p>
            <w:pPr>
              <w:bidi w:val="0"/>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w:t>
            </w:r>
          </w:p>
        </w:tc>
        <w:tc>
          <w:tcPr>
            <w:tcW w:w="1960" w:type="dxa"/>
            <w:vAlign w:val="center"/>
          </w:tcPr>
          <w:p>
            <w:pPr>
              <w:bidi w:val="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硫化氢</w:t>
            </w:r>
          </w:p>
        </w:tc>
        <w:tc>
          <w:tcPr>
            <w:tcW w:w="1704" w:type="dxa"/>
            <w:vAlign w:val="center"/>
          </w:tcPr>
          <w:p>
            <w:pPr>
              <w:bidi w:val="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15</w:t>
            </w:r>
          </w:p>
        </w:tc>
        <w:tc>
          <w:tcPr>
            <w:tcW w:w="1858" w:type="dxa"/>
            <w:vAlign w:val="center"/>
          </w:tcPr>
          <w:p>
            <w:pPr>
              <w:bidi w:val="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0.33</w:t>
            </w:r>
          </w:p>
        </w:tc>
        <w:tc>
          <w:tcPr>
            <w:tcW w:w="2207" w:type="dxa"/>
            <w:vAlign w:val="center"/>
          </w:tcPr>
          <w:p>
            <w:pPr>
              <w:bidi w:val="0"/>
              <w:ind w:firstLine="630" w:firstLineChars="3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0.06</w:t>
            </w:r>
          </w:p>
        </w:tc>
      </w:tr>
    </w:tbl>
    <w:p>
      <w:pPr>
        <w:bidi w:val="0"/>
        <w:ind w:left="0" w:leftChars="0" w:firstLine="0" w:firstLineChars="0"/>
        <w:rPr>
          <w:rFonts w:hint="eastAsia" w:asciiTheme="minorEastAsia" w:hAnsiTheme="minorEastAsia" w:eastAsiaTheme="minorEastAsia" w:cstheme="minorEastAsia"/>
          <w:sz w:val="24"/>
          <w:szCs w:val="24"/>
          <w:lang w:val="en-US" w:eastAsia="zh-CN"/>
        </w:rPr>
      </w:pPr>
    </w:p>
    <w:p>
      <w:pPr>
        <w:bidi w:val="0"/>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lang w:val="en-US" w:eastAsia="zh-CN"/>
        </w:rPr>
        <w:t>表</w:t>
      </w:r>
      <w:r>
        <w:rPr>
          <w:rFonts w:hint="default" w:asciiTheme="minorEastAsia" w:hAnsiTheme="minorEastAsia" w:eastAsiaTheme="minorEastAsia" w:cstheme="minorEastAsia"/>
          <w:sz w:val="24"/>
          <w:szCs w:val="24"/>
          <w:lang w:eastAsia="zh-CN"/>
        </w:rPr>
        <w:t>5-4</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vertAlign w:val="baseline"/>
          <w:lang w:val="en-US" w:eastAsia="zh-CN"/>
        </w:rPr>
        <w:t>《畜禽养殖业污染物排放标准》（DB33/593-2005）</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4948"/>
        <w:gridCol w:w="26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pPr>
              <w:bidi w:val="0"/>
              <w:ind w:left="0" w:leftChars="0" w:firstLine="0" w:firstLineChars="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序号</w:t>
            </w:r>
          </w:p>
        </w:tc>
        <w:tc>
          <w:tcPr>
            <w:tcW w:w="4948" w:type="dxa"/>
            <w:vAlign w:val="center"/>
          </w:tcPr>
          <w:p>
            <w:pPr>
              <w:bidi w:val="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控制标准</w:t>
            </w:r>
          </w:p>
        </w:tc>
        <w:tc>
          <w:tcPr>
            <w:tcW w:w="2690" w:type="dxa"/>
            <w:vAlign w:val="center"/>
          </w:tcPr>
          <w:p>
            <w:pPr>
              <w:bidi w:val="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pPr>
              <w:bidi w:val="0"/>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w:t>
            </w:r>
          </w:p>
        </w:tc>
        <w:tc>
          <w:tcPr>
            <w:tcW w:w="4948" w:type="dxa"/>
            <w:vAlign w:val="center"/>
          </w:tcPr>
          <w:p>
            <w:pPr>
              <w:bidi w:val="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臭气浓度（无量纲）</w:t>
            </w:r>
          </w:p>
        </w:tc>
        <w:tc>
          <w:tcPr>
            <w:tcW w:w="2690" w:type="dxa"/>
            <w:vAlign w:val="center"/>
          </w:tcPr>
          <w:p>
            <w:pPr>
              <w:bidi w:val="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60</w:t>
            </w:r>
          </w:p>
        </w:tc>
      </w:tr>
    </w:tbl>
    <w:p>
      <w:pPr>
        <w:spacing w:line="360" w:lineRule="auto"/>
        <w:ind w:left="0" w:leftChars="0" w:firstLine="0" w:firstLineChars="0"/>
        <w:rPr>
          <w:rFonts w:hint="eastAsia" w:ascii="宋体" w:hAnsi="宋体" w:eastAsia="宋体" w:cs="宋体"/>
          <w:b w:val="0"/>
          <w:bCs/>
          <w:sz w:val="24"/>
          <w:szCs w:val="24"/>
        </w:rPr>
      </w:pPr>
    </w:p>
    <w:p>
      <w:pPr>
        <w:spacing w:line="360" w:lineRule="auto"/>
        <w:ind w:left="0" w:leftChars="0" w:firstLine="0" w:firstLineChars="0"/>
      </w:pPr>
      <w:r>
        <w:rPr>
          <w:rFonts w:hint="eastAsia" w:ascii="宋体" w:hAnsi="宋体" w:eastAsia="宋体" w:cs="宋体"/>
          <w:b w:val="0"/>
          <w:bCs/>
          <w:sz w:val="24"/>
          <w:szCs w:val="24"/>
        </w:rPr>
        <w:t>⑵</w:t>
      </w:r>
      <w:r>
        <w:rPr>
          <w:rFonts w:hint="eastAsia" w:ascii="宋体" w:hAnsi="宋体" w:eastAsia="宋体" w:cs="宋体"/>
          <w:b w:val="0"/>
          <w:bCs/>
          <w:sz w:val="24"/>
          <w:szCs w:val="24"/>
          <w:lang w:val="en-US" w:eastAsia="zh-CN"/>
        </w:rPr>
        <w:t xml:space="preserve"> </w:t>
      </w:r>
      <w:r>
        <w:rPr>
          <w:rFonts w:hint="eastAsia" w:ascii="宋体" w:hAnsi="宋体" w:eastAsia="宋体" w:cs="宋体"/>
          <w:b w:val="0"/>
          <w:bCs/>
          <w:sz w:val="24"/>
          <w:szCs w:val="24"/>
        </w:rPr>
        <w:t>废水</w:t>
      </w:r>
      <w:r>
        <w:rPr>
          <w:rFonts w:hint="eastAsia" w:ascii="宋体" w:hAnsi="宋体" w:eastAsia="宋体" w:cs="宋体"/>
          <w:b w:val="0"/>
          <w:bCs/>
          <w:sz w:val="24"/>
          <w:szCs w:val="24"/>
          <w:lang w:val="en-US" w:eastAsia="zh-CN"/>
        </w:rPr>
        <w:t>执</w:t>
      </w:r>
      <w:r>
        <w:rPr>
          <w:rFonts w:hint="eastAsia" w:asciiTheme="minorEastAsia" w:hAnsiTheme="minorEastAsia" w:eastAsiaTheme="minorEastAsia" w:cstheme="minorEastAsia"/>
          <w:b w:val="0"/>
          <w:bCs w:val="0"/>
          <w:sz w:val="24"/>
          <w:szCs w:val="24"/>
          <w:lang w:val="en-US" w:eastAsia="zh-CN"/>
        </w:rPr>
        <w:t>行标准</w:t>
      </w:r>
    </w:p>
    <w:p>
      <w:pPr>
        <w:pStyle w:val="13"/>
        <w:spacing w:line="360" w:lineRule="auto"/>
        <w:ind w:firstLine="480" w:firstLineChars="200"/>
        <w:rPr>
          <w:sz w:val="24"/>
          <w:szCs w:val="24"/>
        </w:rPr>
      </w:pPr>
      <w:r>
        <w:rPr>
          <w:rFonts w:hint="eastAsia"/>
          <w:b w:val="0"/>
          <w:bCs w:val="0"/>
          <w:sz w:val="24"/>
          <w:szCs w:val="24"/>
          <w:lang w:val="en-US" w:eastAsia="zh-CN"/>
        </w:rPr>
        <w:t>企业采用干清粪养殖工艺。</w:t>
      </w:r>
      <w:r>
        <w:rPr>
          <w:rFonts w:hint="eastAsia"/>
          <w:b w:val="0"/>
          <w:bCs w:val="0"/>
          <w:sz w:val="24"/>
          <w:szCs w:val="24"/>
        </w:rPr>
        <w:t>项目</w:t>
      </w:r>
      <w:r>
        <w:rPr>
          <w:rFonts w:hint="eastAsia"/>
          <w:b w:val="0"/>
          <w:bCs w:val="0"/>
          <w:sz w:val="24"/>
          <w:szCs w:val="24"/>
          <w:lang w:val="en-US" w:eastAsia="zh-CN"/>
        </w:rPr>
        <w:t>养殖废水、初期雨水、</w:t>
      </w:r>
      <w:r>
        <w:rPr>
          <w:rFonts w:hint="eastAsia"/>
          <w:b w:val="0"/>
          <w:bCs w:val="0"/>
          <w:sz w:val="24"/>
          <w:szCs w:val="24"/>
        </w:rPr>
        <w:t>生活</w:t>
      </w:r>
      <w:r>
        <w:rPr>
          <w:rFonts w:hint="eastAsia"/>
          <w:b w:val="0"/>
          <w:bCs w:val="0"/>
          <w:sz w:val="24"/>
          <w:szCs w:val="24"/>
          <w:lang w:val="en-US" w:eastAsia="zh-CN"/>
        </w:rPr>
        <w:t>污</w:t>
      </w:r>
      <w:r>
        <w:rPr>
          <w:rFonts w:hint="eastAsia"/>
          <w:b w:val="0"/>
          <w:bCs w:val="0"/>
          <w:sz w:val="24"/>
          <w:szCs w:val="24"/>
        </w:rPr>
        <w:t>水</w:t>
      </w:r>
      <w:r>
        <w:rPr>
          <w:rFonts w:hint="eastAsia"/>
          <w:b w:val="0"/>
          <w:bCs w:val="0"/>
          <w:sz w:val="24"/>
          <w:szCs w:val="24"/>
          <w:lang w:val="en-US" w:eastAsia="zh-CN"/>
        </w:rPr>
        <w:t>统一经自建的污水处理系统处理，出水用于周边林地浇灌，不外排，水质执行《浙江省畜禽养殖业污染物排放标准》（DB33/593-2005）中表5所要求的标准限值，亦需符合《农田灌溉水质标准》（GB5084-2005）旱作标准。废水</w:t>
      </w:r>
      <w:r>
        <w:rPr>
          <w:rFonts w:hint="eastAsia"/>
          <w:b w:val="0"/>
          <w:bCs w:val="0"/>
          <w:sz w:val="24"/>
          <w:szCs w:val="24"/>
        </w:rPr>
        <w:t>排放</w:t>
      </w:r>
      <w:r>
        <w:rPr>
          <w:rFonts w:hint="eastAsia"/>
          <w:b w:val="0"/>
          <w:bCs w:val="0"/>
          <w:sz w:val="24"/>
          <w:szCs w:val="24"/>
          <w:lang w:val="en-US" w:eastAsia="zh-CN"/>
        </w:rPr>
        <w:t>浓度</w:t>
      </w:r>
      <w:r>
        <w:rPr>
          <w:rFonts w:hint="eastAsia"/>
          <w:b w:val="0"/>
          <w:bCs w:val="0"/>
          <w:sz w:val="24"/>
          <w:szCs w:val="24"/>
        </w:rPr>
        <w:t>限值详</w:t>
      </w:r>
      <w:r>
        <w:rPr>
          <w:rFonts w:hint="eastAsia"/>
          <w:sz w:val="24"/>
          <w:szCs w:val="24"/>
        </w:rPr>
        <w:t>见下表。</w:t>
      </w:r>
    </w:p>
    <w:p>
      <w:pPr>
        <w:spacing w:line="360" w:lineRule="auto"/>
        <w:ind w:right="-574" w:rightChars="-239" w:firstLine="720" w:firstLineChars="300"/>
        <w:jc w:val="both"/>
        <w:rPr>
          <w:rFonts w:hint="eastAsia" w:ascii="宋体" w:hAnsi="宋体" w:eastAsia="宋体" w:cs="宋体"/>
          <w:b w:val="0"/>
          <w:bCs w:val="0"/>
          <w:lang w:val="en-US" w:eastAsia="zh-CN"/>
        </w:rPr>
      </w:pPr>
      <w:r>
        <w:rPr>
          <w:rFonts w:hint="eastAsia" w:asciiTheme="minorEastAsia" w:hAnsiTheme="minorEastAsia" w:eastAsiaTheme="minorEastAsia" w:cstheme="minorEastAsia"/>
          <w:b w:val="0"/>
          <w:bCs w:val="0"/>
        </w:rPr>
        <w:t>表</w:t>
      </w:r>
      <w:r>
        <w:rPr>
          <w:rFonts w:hint="default" w:asciiTheme="minorEastAsia" w:hAnsiTheme="minorEastAsia" w:eastAsiaTheme="minorEastAsia" w:cstheme="minorEastAsia"/>
          <w:b w:val="0"/>
          <w:bCs w:val="0"/>
        </w:rPr>
        <w:t>5</w:t>
      </w:r>
      <w:r>
        <w:rPr>
          <w:rFonts w:hint="eastAsia" w:asciiTheme="minorEastAsia" w:hAnsiTheme="minorEastAsia" w:eastAsiaTheme="minorEastAsia" w:cstheme="minorEastAsia"/>
          <w:b w:val="0"/>
          <w:bCs w:val="0"/>
        </w:rPr>
        <w:t>-5 《</w:t>
      </w:r>
      <w:r>
        <w:rPr>
          <w:rFonts w:hint="eastAsia" w:asciiTheme="minorEastAsia" w:hAnsiTheme="minorEastAsia" w:eastAsiaTheme="minorEastAsia" w:cstheme="minorEastAsia"/>
          <w:b w:val="0"/>
          <w:bCs w:val="0"/>
          <w:sz w:val="24"/>
          <w:szCs w:val="24"/>
          <w:lang w:val="en-US" w:eastAsia="zh-CN"/>
        </w:rPr>
        <w:t>浙江省畜禽养殖业污染物排放标准</w:t>
      </w:r>
      <w:r>
        <w:rPr>
          <w:rFonts w:hint="eastAsia" w:asciiTheme="minorEastAsia" w:hAnsiTheme="minorEastAsia" w:eastAsiaTheme="minorEastAsia" w:cstheme="minorEastAsia"/>
          <w:b w:val="0"/>
          <w:bCs w:val="0"/>
        </w:rPr>
        <w:t>》</w:t>
      </w:r>
      <w:r>
        <w:rPr>
          <w:rFonts w:hint="eastAsia" w:ascii="宋体" w:hAnsi="宋体" w:eastAsia="宋体" w:cs="宋体"/>
          <w:b w:val="0"/>
          <w:bCs w:val="0"/>
        </w:rPr>
        <w:t>（</w:t>
      </w:r>
      <w:r>
        <w:rPr>
          <w:rFonts w:hint="eastAsia" w:ascii="宋体" w:hAnsi="宋体" w:eastAsia="宋体" w:cs="宋体"/>
          <w:b w:val="0"/>
          <w:bCs w:val="0"/>
          <w:lang w:val="en-US" w:eastAsia="zh-CN"/>
        </w:rPr>
        <w:t>DB33/593-2005</w:t>
      </w:r>
      <w:r>
        <w:rPr>
          <w:rFonts w:hint="eastAsia" w:ascii="宋体" w:hAnsi="宋体" w:eastAsia="宋体" w:cs="宋体"/>
          <w:b w:val="0"/>
          <w:bCs w:val="0"/>
        </w:rPr>
        <w:t>）</w:t>
      </w:r>
    </w:p>
    <w:tbl>
      <w:tblPr>
        <w:tblStyle w:val="23"/>
        <w:tblW w:w="82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7"/>
        <w:gridCol w:w="1050"/>
        <w:gridCol w:w="1065"/>
        <w:gridCol w:w="1065"/>
        <w:gridCol w:w="1050"/>
        <w:gridCol w:w="1065"/>
        <w:gridCol w:w="17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177" w:type="dxa"/>
            <w:vAlign w:val="center"/>
          </w:tcPr>
          <w:p>
            <w:pPr>
              <w:spacing w:line="240" w:lineRule="auto"/>
              <w:ind w:firstLine="0" w:firstLineChars="0"/>
              <w:jc w:val="center"/>
              <w:rPr>
                <w:rFonts w:ascii="宋体" w:hAnsi="宋体" w:eastAsia="宋体" w:cs="宋体"/>
                <w:b w:val="0"/>
                <w:bCs w:val="0"/>
                <w:sz w:val="21"/>
                <w:szCs w:val="21"/>
              </w:rPr>
            </w:pPr>
            <w:r>
              <w:rPr>
                <w:rFonts w:hint="eastAsia" w:ascii="宋体" w:hAnsi="宋体" w:eastAsia="宋体" w:cs="宋体"/>
                <w:b w:val="0"/>
                <w:bCs w:val="0"/>
                <w:sz w:val="21"/>
                <w:szCs w:val="21"/>
              </w:rPr>
              <w:t>污染物</w:t>
            </w:r>
          </w:p>
        </w:tc>
        <w:tc>
          <w:tcPr>
            <w:tcW w:w="1050" w:type="dxa"/>
            <w:vAlign w:val="center"/>
          </w:tcPr>
          <w:p>
            <w:pPr>
              <w:spacing w:line="240" w:lineRule="auto"/>
              <w:ind w:firstLine="0" w:firstLineChars="0"/>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BOD</w:t>
            </w:r>
            <w:r>
              <w:rPr>
                <w:rFonts w:hint="eastAsia" w:ascii="宋体" w:hAnsi="宋体" w:eastAsia="宋体" w:cs="宋体"/>
                <w:b w:val="0"/>
                <w:bCs w:val="0"/>
                <w:sz w:val="21"/>
                <w:szCs w:val="21"/>
                <w:vertAlign w:val="subscript"/>
                <w:lang w:val="en-US" w:eastAsia="zh-CN"/>
              </w:rPr>
              <w:t>5</w:t>
            </w:r>
          </w:p>
          <w:p>
            <w:pPr>
              <w:spacing w:line="240" w:lineRule="auto"/>
              <w:ind w:firstLine="0" w:firstLineChars="0"/>
              <w:jc w:val="both"/>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w:t>
            </w:r>
            <w:r>
              <w:rPr>
                <w:b w:val="0"/>
                <w:bCs w:val="0"/>
                <w:sz w:val="21"/>
                <w:szCs w:val="21"/>
              </w:rPr>
              <w:t>mg/L</w:t>
            </w:r>
            <w:r>
              <w:rPr>
                <w:rFonts w:hint="eastAsia" w:ascii="宋体" w:hAnsi="宋体" w:eastAsia="宋体" w:cs="宋体"/>
                <w:b w:val="0"/>
                <w:bCs w:val="0"/>
                <w:sz w:val="21"/>
                <w:szCs w:val="21"/>
                <w:lang w:val="en-US" w:eastAsia="zh-CN"/>
              </w:rPr>
              <w:t>）</w:t>
            </w:r>
          </w:p>
        </w:tc>
        <w:tc>
          <w:tcPr>
            <w:tcW w:w="1065" w:type="dxa"/>
            <w:vAlign w:val="center"/>
          </w:tcPr>
          <w:p>
            <w:pPr>
              <w:spacing w:line="240" w:lineRule="auto"/>
              <w:ind w:firstLine="0" w:firstLineChars="0"/>
              <w:jc w:val="center"/>
              <w:rPr>
                <w:rFonts w:hint="eastAsia" w:ascii="宋体" w:hAnsi="宋体" w:eastAsia="宋体" w:cs="宋体"/>
                <w:b w:val="0"/>
                <w:bCs w:val="0"/>
                <w:sz w:val="21"/>
                <w:szCs w:val="21"/>
              </w:rPr>
            </w:pPr>
            <w:r>
              <w:rPr>
                <w:rFonts w:hint="eastAsia" w:ascii="宋体" w:hAnsi="宋体" w:eastAsia="宋体" w:cs="宋体"/>
                <w:b w:val="0"/>
                <w:bCs w:val="0"/>
                <w:sz w:val="21"/>
                <w:szCs w:val="21"/>
              </w:rPr>
              <w:t>CODcr</w:t>
            </w:r>
          </w:p>
          <w:p>
            <w:pPr>
              <w:spacing w:line="240" w:lineRule="auto"/>
              <w:ind w:firstLine="0" w:firstLineChars="0"/>
              <w:jc w:val="both"/>
              <w:rPr>
                <w:rFonts w:hint="eastAsia" w:ascii="宋体" w:hAnsi="宋体" w:eastAsia="宋体" w:cs="宋体"/>
                <w:b w:val="0"/>
                <w:bCs w:val="0"/>
                <w:sz w:val="21"/>
                <w:szCs w:val="21"/>
              </w:rPr>
            </w:pPr>
            <w:r>
              <w:rPr>
                <w:rFonts w:hint="eastAsia" w:ascii="宋体" w:hAnsi="宋体" w:eastAsia="宋体" w:cs="宋体"/>
                <w:b w:val="0"/>
                <w:bCs w:val="0"/>
                <w:sz w:val="21"/>
                <w:szCs w:val="21"/>
                <w:lang w:val="en-US" w:eastAsia="zh-CN"/>
              </w:rPr>
              <w:t>（</w:t>
            </w:r>
            <w:r>
              <w:rPr>
                <w:b w:val="0"/>
                <w:bCs w:val="0"/>
                <w:sz w:val="21"/>
                <w:szCs w:val="21"/>
              </w:rPr>
              <w:t>mg/L</w:t>
            </w:r>
            <w:r>
              <w:rPr>
                <w:rFonts w:hint="eastAsia" w:ascii="宋体" w:hAnsi="宋体" w:eastAsia="宋体" w:cs="宋体"/>
                <w:b w:val="0"/>
                <w:bCs w:val="0"/>
                <w:sz w:val="21"/>
                <w:szCs w:val="21"/>
                <w:lang w:val="en-US" w:eastAsia="zh-CN"/>
              </w:rPr>
              <w:t>）</w:t>
            </w:r>
          </w:p>
        </w:tc>
        <w:tc>
          <w:tcPr>
            <w:tcW w:w="1065" w:type="dxa"/>
          </w:tcPr>
          <w:p>
            <w:pPr>
              <w:spacing w:line="240" w:lineRule="auto"/>
              <w:ind w:firstLine="0" w:firstLineChars="0"/>
              <w:jc w:val="center"/>
              <w:rPr>
                <w:rFonts w:hint="eastAsia" w:ascii="宋体" w:hAnsi="宋体" w:eastAsia="宋体" w:cs="宋体"/>
                <w:b w:val="0"/>
                <w:bCs w:val="0"/>
                <w:sz w:val="21"/>
                <w:szCs w:val="21"/>
              </w:rPr>
            </w:pPr>
            <w:r>
              <w:rPr>
                <w:rFonts w:hint="eastAsia" w:ascii="宋体" w:hAnsi="宋体" w:eastAsia="宋体" w:cs="宋体"/>
                <w:b w:val="0"/>
                <w:bCs w:val="0"/>
                <w:sz w:val="21"/>
                <w:szCs w:val="21"/>
              </w:rPr>
              <w:t>SS</w:t>
            </w:r>
          </w:p>
          <w:p>
            <w:pPr>
              <w:spacing w:line="240" w:lineRule="auto"/>
              <w:ind w:firstLine="0" w:firstLineChars="0"/>
              <w:jc w:val="center"/>
              <w:rPr>
                <w:rFonts w:hint="eastAsia" w:ascii="宋体" w:hAnsi="宋体" w:eastAsia="宋体" w:cs="宋体"/>
                <w:b w:val="0"/>
                <w:bCs w:val="0"/>
                <w:sz w:val="21"/>
                <w:szCs w:val="21"/>
              </w:rPr>
            </w:pPr>
            <w:r>
              <w:rPr>
                <w:rFonts w:hint="eastAsia" w:ascii="宋体" w:hAnsi="宋体" w:eastAsia="宋体" w:cs="宋体"/>
                <w:b w:val="0"/>
                <w:bCs w:val="0"/>
                <w:sz w:val="21"/>
                <w:szCs w:val="21"/>
                <w:lang w:val="en-US" w:eastAsia="zh-CN"/>
              </w:rPr>
              <w:t>（</w:t>
            </w:r>
            <w:r>
              <w:rPr>
                <w:b w:val="0"/>
                <w:bCs w:val="0"/>
                <w:sz w:val="21"/>
                <w:szCs w:val="21"/>
              </w:rPr>
              <w:t>mg/L</w:t>
            </w:r>
            <w:r>
              <w:rPr>
                <w:rFonts w:hint="eastAsia" w:ascii="宋体" w:hAnsi="宋体" w:eastAsia="宋体" w:cs="宋体"/>
                <w:b w:val="0"/>
                <w:bCs w:val="0"/>
                <w:sz w:val="21"/>
                <w:szCs w:val="21"/>
                <w:lang w:val="en-US" w:eastAsia="zh-CN"/>
              </w:rPr>
              <w:t>）</w:t>
            </w:r>
          </w:p>
        </w:tc>
        <w:tc>
          <w:tcPr>
            <w:tcW w:w="1050" w:type="dxa"/>
          </w:tcPr>
          <w:p>
            <w:pPr>
              <w:spacing w:line="240" w:lineRule="auto"/>
              <w:ind w:firstLine="0" w:firstLineChars="0"/>
              <w:jc w:val="center"/>
              <w:rPr>
                <w:rFonts w:hint="eastAsia" w:ascii="宋体" w:hAnsi="宋体" w:eastAsia="宋体" w:cs="宋体"/>
                <w:b w:val="0"/>
                <w:bCs w:val="0"/>
                <w:sz w:val="21"/>
                <w:szCs w:val="21"/>
              </w:rPr>
            </w:pPr>
            <w:r>
              <w:rPr>
                <w:rFonts w:hint="eastAsia" w:ascii="宋体" w:hAnsi="宋体" w:eastAsia="宋体" w:cs="宋体"/>
                <w:b w:val="0"/>
                <w:bCs w:val="0"/>
                <w:sz w:val="21"/>
                <w:szCs w:val="21"/>
              </w:rPr>
              <w:t>氨氮</w:t>
            </w:r>
          </w:p>
          <w:p>
            <w:pPr>
              <w:spacing w:line="240" w:lineRule="auto"/>
              <w:ind w:firstLine="0" w:firstLineChars="0"/>
              <w:jc w:val="center"/>
              <w:rPr>
                <w:rFonts w:hint="eastAsia" w:ascii="宋体" w:hAnsi="宋体" w:eastAsia="宋体" w:cs="宋体"/>
                <w:b w:val="0"/>
                <w:bCs w:val="0"/>
                <w:sz w:val="21"/>
                <w:szCs w:val="21"/>
              </w:rPr>
            </w:pPr>
            <w:r>
              <w:rPr>
                <w:rFonts w:hint="eastAsia" w:ascii="宋体" w:hAnsi="宋体" w:eastAsia="宋体" w:cs="宋体"/>
                <w:b w:val="0"/>
                <w:bCs w:val="0"/>
                <w:sz w:val="21"/>
                <w:szCs w:val="21"/>
                <w:lang w:val="en-US" w:eastAsia="zh-CN"/>
              </w:rPr>
              <w:t>（</w:t>
            </w:r>
            <w:r>
              <w:rPr>
                <w:b w:val="0"/>
                <w:bCs w:val="0"/>
                <w:sz w:val="21"/>
                <w:szCs w:val="21"/>
              </w:rPr>
              <w:t>mg/L</w:t>
            </w:r>
            <w:r>
              <w:rPr>
                <w:rFonts w:hint="eastAsia" w:ascii="宋体" w:hAnsi="宋体" w:eastAsia="宋体" w:cs="宋体"/>
                <w:b w:val="0"/>
                <w:bCs w:val="0"/>
                <w:sz w:val="21"/>
                <w:szCs w:val="21"/>
                <w:lang w:val="en-US" w:eastAsia="zh-CN"/>
              </w:rPr>
              <w:t>）</w:t>
            </w:r>
          </w:p>
        </w:tc>
        <w:tc>
          <w:tcPr>
            <w:tcW w:w="1065" w:type="dxa"/>
          </w:tcPr>
          <w:p>
            <w:pPr>
              <w:spacing w:line="240" w:lineRule="auto"/>
              <w:ind w:firstLine="0" w:firstLineChars="0"/>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总磷</w:t>
            </w:r>
          </w:p>
          <w:p>
            <w:pPr>
              <w:spacing w:line="240" w:lineRule="auto"/>
              <w:ind w:firstLine="0" w:firstLineChars="0"/>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w:t>
            </w:r>
            <w:r>
              <w:rPr>
                <w:b w:val="0"/>
                <w:bCs w:val="0"/>
                <w:sz w:val="21"/>
                <w:szCs w:val="21"/>
              </w:rPr>
              <w:t>mg/L</w:t>
            </w:r>
            <w:r>
              <w:rPr>
                <w:rFonts w:hint="eastAsia" w:ascii="宋体" w:hAnsi="宋体" w:eastAsia="宋体" w:cs="宋体"/>
                <w:b w:val="0"/>
                <w:bCs w:val="0"/>
                <w:sz w:val="21"/>
                <w:szCs w:val="21"/>
                <w:lang w:val="en-US" w:eastAsia="zh-CN"/>
              </w:rPr>
              <w:t>）</w:t>
            </w:r>
          </w:p>
        </w:tc>
        <w:tc>
          <w:tcPr>
            <w:tcW w:w="1745" w:type="dxa"/>
          </w:tcPr>
          <w:p>
            <w:pPr>
              <w:spacing w:line="240" w:lineRule="auto"/>
              <w:ind w:firstLine="0" w:firstLineChars="0"/>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粪大肠菌群</w:t>
            </w:r>
          </w:p>
          <w:p>
            <w:pPr>
              <w:spacing w:line="240" w:lineRule="auto"/>
              <w:ind w:firstLine="0" w:firstLineChars="0"/>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（个/L）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 w:hRule="atLeast"/>
          <w:jc w:val="center"/>
        </w:trPr>
        <w:tc>
          <w:tcPr>
            <w:tcW w:w="1177" w:type="dxa"/>
            <w:vAlign w:val="center"/>
          </w:tcPr>
          <w:p>
            <w:pPr>
              <w:spacing w:line="240" w:lineRule="auto"/>
              <w:ind w:firstLine="0" w:firstLineChars="0"/>
              <w:jc w:val="center"/>
              <w:rPr>
                <w:rFonts w:ascii="宋体" w:hAnsi="宋体" w:eastAsia="宋体" w:cs="宋体"/>
              </w:rPr>
            </w:pPr>
            <w:r>
              <w:rPr>
                <w:rFonts w:hint="eastAsia" w:ascii="宋体" w:hAnsi="宋体" w:eastAsia="宋体" w:cs="宋体"/>
                <w:lang w:val="en-US" w:eastAsia="zh-CN"/>
              </w:rPr>
              <w:t>排放</w:t>
            </w:r>
            <w:r>
              <w:rPr>
                <w:rFonts w:ascii="宋体" w:hAnsi="宋体" w:eastAsia="宋体" w:cs="宋体"/>
              </w:rPr>
              <w:t>标准</w:t>
            </w:r>
          </w:p>
        </w:tc>
        <w:tc>
          <w:tcPr>
            <w:tcW w:w="1050" w:type="dxa"/>
            <w:vAlign w:val="center"/>
          </w:tcPr>
          <w:p>
            <w:pPr>
              <w:spacing w:line="240" w:lineRule="auto"/>
              <w:ind w:firstLine="0" w:firstLineChars="0"/>
              <w:jc w:val="center"/>
              <w:rPr>
                <w:rFonts w:hint="default" w:ascii="宋体" w:hAnsi="宋体" w:eastAsia="宋体" w:cs="宋体"/>
                <w:lang w:val="en-US" w:eastAsia="zh-CN"/>
              </w:rPr>
            </w:pPr>
            <w:r>
              <w:rPr>
                <w:rFonts w:hint="eastAsia" w:ascii="宋体" w:hAnsi="宋体" w:eastAsia="宋体" w:cs="宋体"/>
                <w:lang w:val="en-US" w:eastAsia="zh-CN"/>
              </w:rPr>
              <w:t>140</w:t>
            </w:r>
          </w:p>
        </w:tc>
        <w:tc>
          <w:tcPr>
            <w:tcW w:w="1065" w:type="dxa"/>
            <w:vAlign w:val="center"/>
          </w:tcPr>
          <w:p>
            <w:pPr>
              <w:spacing w:line="240" w:lineRule="auto"/>
              <w:ind w:firstLine="0" w:firstLineChars="0"/>
              <w:jc w:val="center"/>
              <w:rPr>
                <w:rFonts w:ascii="宋体" w:hAnsi="宋体" w:eastAsia="宋体" w:cs="宋体"/>
              </w:rPr>
            </w:pPr>
            <w:r>
              <w:rPr>
                <w:rFonts w:hint="eastAsia" w:ascii="宋体" w:hAnsi="宋体" w:eastAsia="宋体" w:cs="宋体"/>
                <w:lang w:val="en-US" w:eastAsia="zh-CN"/>
              </w:rPr>
              <w:t>38</w:t>
            </w:r>
            <w:r>
              <w:rPr>
                <w:rFonts w:ascii="宋体" w:hAnsi="宋体" w:eastAsia="宋体" w:cs="宋体"/>
              </w:rPr>
              <w:t>0</w:t>
            </w:r>
          </w:p>
        </w:tc>
        <w:tc>
          <w:tcPr>
            <w:tcW w:w="1065" w:type="dxa"/>
          </w:tcPr>
          <w:p>
            <w:pPr>
              <w:ind w:firstLine="0" w:firstLineChars="0"/>
              <w:jc w:val="center"/>
              <w:rPr>
                <w:rFonts w:ascii="宋体" w:hAnsi="宋体" w:eastAsia="宋体" w:cs="宋体"/>
              </w:rPr>
            </w:pPr>
            <w:r>
              <w:rPr>
                <w:rFonts w:hint="eastAsia" w:ascii="宋体" w:hAnsi="宋体" w:eastAsia="宋体" w:cs="宋体"/>
                <w:lang w:val="en-US" w:eastAsia="zh-CN"/>
              </w:rPr>
              <w:t>16</w:t>
            </w:r>
            <w:r>
              <w:rPr>
                <w:rFonts w:ascii="宋体" w:hAnsi="宋体" w:eastAsia="宋体" w:cs="宋体"/>
              </w:rPr>
              <w:t>0</w:t>
            </w:r>
            <w:r>
              <w:t xml:space="preserve"> </w:t>
            </w:r>
          </w:p>
        </w:tc>
        <w:tc>
          <w:tcPr>
            <w:tcW w:w="1050" w:type="dxa"/>
          </w:tcPr>
          <w:p>
            <w:pPr>
              <w:ind w:firstLine="0" w:firstLineChars="0"/>
              <w:jc w:val="center"/>
              <w:rPr>
                <w:rFonts w:ascii="宋体" w:hAnsi="宋体" w:eastAsia="宋体" w:cs="宋体"/>
              </w:rPr>
            </w:pPr>
            <w:r>
              <w:rPr>
                <w:rFonts w:hint="eastAsia" w:ascii="宋体" w:hAnsi="宋体" w:eastAsia="宋体" w:cs="宋体"/>
                <w:lang w:val="en-US" w:eastAsia="zh-CN"/>
              </w:rPr>
              <w:t>70</w:t>
            </w:r>
          </w:p>
        </w:tc>
        <w:tc>
          <w:tcPr>
            <w:tcW w:w="1065" w:type="dxa"/>
          </w:tcPr>
          <w:p>
            <w:pPr>
              <w:ind w:firstLine="0" w:firstLineChars="0"/>
              <w:jc w:val="center"/>
              <w:rPr>
                <w:rFonts w:hint="default" w:ascii="宋体" w:hAnsi="宋体" w:eastAsia="宋体" w:cs="宋体"/>
                <w:lang w:val="en-US"/>
              </w:rPr>
            </w:pPr>
            <w:r>
              <w:rPr>
                <w:rFonts w:hint="eastAsia" w:ascii="宋体" w:hAnsi="宋体" w:eastAsia="宋体" w:cs="宋体"/>
                <w:lang w:val="en-US" w:eastAsia="zh-CN"/>
              </w:rPr>
              <w:t>7.0</w:t>
            </w:r>
          </w:p>
        </w:tc>
        <w:tc>
          <w:tcPr>
            <w:tcW w:w="1745" w:type="dxa"/>
          </w:tcPr>
          <w:p>
            <w:pPr>
              <w:ind w:firstLine="0" w:firstLineChars="0"/>
              <w:jc w:val="center"/>
              <w:rPr>
                <w:rFonts w:hint="default" w:ascii="宋体" w:hAnsi="宋体" w:eastAsia="宋体" w:cs="宋体"/>
                <w:lang w:val="en-US" w:eastAsia="zh-CN"/>
              </w:rPr>
            </w:pPr>
            <w:r>
              <w:rPr>
                <w:rFonts w:hint="eastAsia" w:ascii="宋体" w:hAnsi="宋体" w:eastAsia="宋体" w:cs="宋体"/>
                <w:lang w:val="en-US" w:eastAsia="zh-CN"/>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 w:hRule="atLeast"/>
          <w:jc w:val="center"/>
        </w:trPr>
        <w:tc>
          <w:tcPr>
            <w:tcW w:w="8217" w:type="dxa"/>
            <w:gridSpan w:val="7"/>
            <w:vAlign w:val="center"/>
          </w:tcPr>
          <w:p>
            <w:pPr>
              <w:spacing w:line="240" w:lineRule="auto"/>
              <w:ind w:firstLine="0" w:firstLineChars="0"/>
              <w:jc w:val="left"/>
              <w:rPr>
                <w:rFonts w:hint="default" w:ascii="宋体" w:hAnsi="宋体" w:eastAsia="宋体" w:cs="宋体"/>
                <w:lang w:val="en-US" w:eastAsia="zh-CN"/>
              </w:rPr>
            </w:pPr>
            <w:r>
              <w:rPr>
                <w:rFonts w:hint="eastAsia" w:ascii="宋体" w:hAnsi="宋体" w:eastAsia="宋体" w:cs="宋体"/>
                <w:sz w:val="21"/>
                <w:szCs w:val="21"/>
                <w:lang w:val="en-US" w:eastAsia="zh-CN"/>
              </w:rPr>
              <w:t>备注：最高允许排水量执行《畜禽养殖业污染物排放标准》（DB33/593-2005）中表4集约化养殖业干清粪工艺最高允许排水量。</w:t>
            </w:r>
          </w:p>
        </w:tc>
      </w:tr>
    </w:tbl>
    <w:p>
      <w:pPr>
        <w:spacing w:line="360" w:lineRule="auto"/>
        <w:ind w:left="0" w:leftChars="0" w:firstLine="0" w:firstLineChars="0"/>
        <w:rPr>
          <w:rFonts w:hint="eastAsia" w:ascii="宋体" w:hAnsi="宋体" w:eastAsia="宋体" w:cs="宋体"/>
          <w:b w:val="0"/>
          <w:bCs/>
          <w:sz w:val="24"/>
          <w:szCs w:val="24"/>
        </w:rPr>
      </w:pPr>
    </w:p>
    <w:p>
      <w:pPr>
        <w:spacing w:line="360" w:lineRule="auto"/>
        <w:ind w:left="0" w:leftChars="0" w:firstLine="0" w:firstLineChars="0"/>
        <w:rPr>
          <w:rFonts w:ascii="宋体" w:hAnsi="宋体" w:eastAsia="宋体" w:cs="宋体"/>
          <w:b w:val="0"/>
          <w:bCs/>
          <w:sz w:val="24"/>
          <w:szCs w:val="24"/>
        </w:rPr>
      </w:pPr>
      <w:r>
        <w:rPr>
          <w:rFonts w:hint="eastAsia" w:ascii="宋体" w:hAnsi="宋体" w:eastAsia="宋体" w:cs="宋体"/>
          <w:b w:val="0"/>
          <w:bCs/>
          <w:sz w:val="24"/>
          <w:szCs w:val="24"/>
        </w:rPr>
        <w:t>⑶</w:t>
      </w:r>
      <w:r>
        <w:rPr>
          <w:rFonts w:hint="eastAsia" w:ascii="宋体" w:hAnsi="宋体" w:eastAsia="宋体" w:cs="宋体"/>
          <w:b w:val="0"/>
          <w:bCs/>
          <w:sz w:val="24"/>
          <w:szCs w:val="24"/>
          <w:lang w:val="en-US" w:eastAsia="zh-CN"/>
        </w:rPr>
        <w:t xml:space="preserve"> </w:t>
      </w:r>
      <w:r>
        <w:rPr>
          <w:rFonts w:hint="eastAsia" w:ascii="宋体" w:hAnsi="宋体" w:eastAsia="宋体" w:cs="宋体"/>
          <w:b w:val="0"/>
          <w:bCs/>
          <w:sz w:val="24"/>
          <w:szCs w:val="24"/>
        </w:rPr>
        <w:t>噪声</w:t>
      </w:r>
      <w:r>
        <w:rPr>
          <w:rFonts w:hint="eastAsia" w:ascii="宋体" w:hAnsi="宋体" w:eastAsia="宋体" w:cs="宋体"/>
          <w:b w:val="0"/>
          <w:bCs/>
          <w:sz w:val="24"/>
          <w:szCs w:val="24"/>
          <w:lang w:val="en-US" w:eastAsia="zh-CN"/>
        </w:rPr>
        <w:t>执</w:t>
      </w:r>
      <w:r>
        <w:rPr>
          <w:rFonts w:hint="eastAsia" w:asciiTheme="minorEastAsia" w:hAnsiTheme="minorEastAsia" w:eastAsiaTheme="minorEastAsia" w:cstheme="minorEastAsia"/>
          <w:b w:val="0"/>
          <w:bCs w:val="0"/>
          <w:sz w:val="24"/>
          <w:szCs w:val="24"/>
          <w:lang w:val="en-US" w:eastAsia="zh-CN"/>
        </w:rPr>
        <w:t>行标准</w:t>
      </w:r>
    </w:p>
    <w:p>
      <w:pPr>
        <w:pStyle w:val="3"/>
        <w:topLinePunct/>
        <w:spacing w:line="360" w:lineRule="auto"/>
        <w:ind w:firstLine="480"/>
        <w:jc w:val="both"/>
        <w:rPr>
          <w:rFonts w:ascii="宋体" w:hAnsi="宋体" w:eastAsia="宋体" w:cs="宋体"/>
        </w:rPr>
      </w:pPr>
      <w:r>
        <w:rPr>
          <w:rFonts w:hint="eastAsia" w:asciiTheme="minorEastAsia" w:hAnsiTheme="minorEastAsia" w:eastAsiaTheme="minorEastAsia" w:cstheme="minorEastAsia"/>
          <w:lang w:val="en-US" w:eastAsia="zh-CN"/>
        </w:rPr>
        <w:t>企业在营运期间厂界噪声执行</w:t>
      </w:r>
      <w:r>
        <w:rPr>
          <w:rFonts w:hint="eastAsia" w:ascii="宋体" w:hAnsi="宋体" w:eastAsia="宋体" w:cs="宋体"/>
        </w:rPr>
        <w:t>《工业企业厂界环境噪声排放标准》（GB12348-2008）中的</w:t>
      </w:r>
      <w:r>
        <w:rPr>
          <w:rFonts w:hint="eastAsia" w:ascii="宋体" w:hAnsi="宋体" w:eastAsia="宋体" w:cs="宋体"/>
          <w:lang w:val="en-US" w:eastAsia="zh-CN"/>
        </w:rPr>
        <w:t>1</w:t>
      </w:r>
      <w:r>
        <w:rPr>
          <w:rFonts w:hint="eastAsia" w:ascii="宋体" w:hAnsi="宋体" w:eastAsia="宋体" w:cs="宋体"/>
        </w:rPr>
        <w:t>类标准，具体标准</w:t>
      </w:r>
      <w:r>
        <w:rPr>
          <w:rFonts w:ascii="宋体" w:hAnsi="宋体" w:eastAsia="宋体" w:cs="宋体"/>
        </w:rPr>
        <w:t>详见下表。</w:t>
      </w:r>
    </w:p>
    <w:p>
      <w:pPr>
        <w:pStyle w:val="3"/>
        <w:topLinePunct/>
        <w:spacing w:line="360" w:lineRule="auto"/>
        <w:ind w:firstLine="0" w:firstLineChars="0"/>
        <w:rPr>
          <w:rFonts w:ascii="宋体" w:hAnsi="宋体" w:eastAsia="宋体" w:cs="宋体"/>
          <w:b w:val="0"/>
          <w:bCs w:val="0"/>
        </w:rPr>
      </w:pPr>
      <w:r>
        <w:rPr>
          <w:rFonts w:hint="eastAsia" w:ascii="宋体" w:hAnsi="宋体" w:eastAsia="宋体" w:cs="宋体"/>
          <w:b w:val="0"/>
          <w:bCs w:val="0"/>
        </w:rPr>
        <w:t>表</w:t>
      </w:r>
      <w:r>
        <w:rPr>
          <w:rFonts w:hint="default" w:ascii="宋体" w:hAnsi="宋体" w:eastAsia="宋体" w:cs="宋体"/>
          <w:b w:val="0"/>
          <w:bCs w:val="0"/>
        </w:rPr>
        <w:t>5-6</w:t>
      </w:r>
      <w:r>
        <w:rPr>
          <w:rFonts w:hint="eastAsia" w:ascii="宋体" w:hAnsi="宋体" w:eastAsia="宋体" w:cs="宋体"/>
          <w:b w:val="0"/>
          <w:bCs w:val="0"/>
        </w:rPr>
        <w:t xml:space="preserve"> 《工业企业厂界环境噪声排放标准》（GB12348-2008）</w:t>
      </w:r>
    </w:p>
    <w:tbl>
      <w:tblPr>
        <w:tblStyle w:val="23"/>
        <w:tblW w:w="82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89"/>
        <w:gridCol w:w="2940"/>
        <w:gridCol w:w="23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9" w:hRule="atLeast"/>
        </w:trPr>
        <w:tc>
          <w:tcPr>
            <w:tcW w:w="2889" w:type="dxa"/>
          </w:tcPr>
          <w:p>
            <w:pPr>
              <w:pStyle w:val="3"/>
              <w:topLinePunct/>
              <w:spacing w:line="240" w:lineRule="auto"/>
              <w:ind w:firstLine="0" w:firstLineChars="0"/>
              <w:rPr>
                <w:rFonts w:ascii="宋体" w:hAnsi="宋体" w:eastAsia="宋体" w:cs="宋体"/>
              </w:rPr>
            </w:pPr>
            <w:r>
              <w:rPr>
                <w:rFonts w:hint="eastAsia" w:ascii="宋体" w:hAnsi="宋体" w:eastAsia="宋体" w:cs="宋体"/>
              </w:rPr>
              <w:t>标准</w:t>
            </w:r>
          </w:p>
        </w:tc>
        <w:tc>
          <w:tcPr>
            <w:tcW w:w="2940" w:type="dxa"/>
          </w:tcPr>
          <w:p>
            <w:pPr>
              <w:pStyle w:val="3"/>
              <w:topLinePunct/>
              <w:spacing w:line="240" w:lineRule="auto"/>
              <w:ind w:firstLine="0" w:firstLineChars="0"/>
              <w:rPr>
                <w:rFonts w:ascii="宋体" w:hAnsi="宋体" w:eastAsia="宋体" w:cs="宋体"/>
              </w:rPr>
            </w:pPr>
            <w:r>
              <w:rPr>
                <w:rFonts w:hint="eastAsia" w:ascii="宋体" w:hAnsi="宋体" w:eastAsia="宋体" w:cs="宋体"/>
              </w:rPr>
              <w:t>昼间</w:t>
            </w:r>
          </w:p>
        </w:tc>
        <w:tc>
          <w:tcPr>
            <w:tcW w:w="2372" w:type="dxa"/>
            <w:vAlign w:val="top"/>
          </w:tcPr>
          <w:p>
            <w:pPr>
              <w:pStyle w:val="3"/>
              <w:topLinePunct/>
              <w:spacing w:line="240" w:lineRule="auto"/>
              <w:ind w:firstLine="0" w:firstLineChars="0"/>
              <w:rPr>
                <w:rFonts w:hint="eastAsia" w:ascii="宋体" w:hAnsi="宋体" w:eastAsia="宋体" w:cs="宋体"/>
              </w:rPr>
            </w:pPr>
            <w:r>
              <w:rPr>
                <w:rFonts w:hint="eastAsia" w:ascii="宋体" w:hAnsi="宋体" w:eastAsia="宋体" w:cs="宋体"/>
                <w:lang w:val="en-US" w:eastAsia="zh-CN"/>
              </w:rPr>
              <w:t>夜</w:t>
            </w:r>
            <w:r>
              <w:rPr>
                <w:rFonts w:hint="eastAsia" w:ascii="宋体" w:hAnsi="宋体" w:eastAsia="宋体" w:cs="宋体"/>
              </w:rPr>
              <w:t>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2889" w:type="dxa"/>
          </w:tcPr>
          <w:p>
            <w:pPr>
              <w:pStyle w:val="3"/>
              <w:topLinePunct/>
              <w:spacing w:line="240" w:lineRule="auto"/>
              <w:ind w:firstLine="0" w:firstLineChars="0"/>
              <w:rPr>
                <w:rFonts w:ascii="宋体" w:hAnsi="宋体" w:eastAsia="宋体" w:cs="宋体"/>
              </w:rPr>
            </w:pPr>
            <w:r>
              <w:rPr>
                <w:rFonts w:hint="eastAsia" w:ascii="宋体" w:hAnsi="宋体" w:eastAsia="宋体" w:cs="宋体"/>
                <w:lang w:val="en-US" w:eastAsia="zh-CN"/>
              </w:rPr>
              <w:t>1</w:t>
            </w:r>
            <w:r>
              <w:rPr>
                <w:rFonts w:hint="eastAsia" w:ascii="宋体" w:hAnsi="宋体" w:eastAsia="宋体" w:cs="宋体"/>
              </w:rPr>
              <w:t>类</w:t>
            </w:r>
          </w:p>
        </w:tc>
        <w:tc>
          <w:tcPr>
            <w:tcW w:w="2940" w:type="dxa"/>
          </w:tcPr>
          <w:p>
            <w:pPr>
              <w:pStyle w:val="3"/>
              <w:topLinePunct/>
              <w:spacing w:line="240" w:lineRule="auto"/>
              <w:ind w:firstLine="0" w:firstLineChars="0"/>
              <w:rPr>
                <w:rFonts w:ascii="宋体" w:hAnsi="宋体" w:eastAsia="宋体" w:cs="宋体"/>
              </w:rPr>
            </w:pPr>
            <w:r>
              <w:rPr>
                <w:rFonts w:ascii="宋体" w:hAnsi="宋体" w:eastAsia="宋体" w:cs="宋体"/>
              </w:rPr>
              <w:t>55</w:t>
            </w:r>
            <w:r>
              <w:rPr>
                <w:rFonts w:hint="eastAsia" w:ascii="宋体" w:hAnsi="宋体" w:eastAsia="宋体" w:cs="宋体"/>
                <w:b/>
                <w:bCs/>
                <w:sz w:val="21"/>
                <w:szCs w:val="21"/>
              </w:rPr>
              <w:t xml:space="preserve"> dB（A）</w:t>
            </w:r>
          </w:p>
        </w:tc>
        <w:tc>
          <w:tcPr>
            <w:tcW w:w="2372" w:type="dxa"/>
            <w:vAlign w:val="top"/>
          </w:tcPr>
          <w:p>
            <w:pPr>
              <w:pStyle w:val="3"/>
              <w:topLinePunct/>
              <w:spacing w:line="240" w:lineRule="auto"/>
              <w:ind w:firstLine="0" w:firstLineChars="0"/>
              <w:rPr>
                <w:rFonts w:ascii="宋体" w:hAnsi="宋体" w:eastAsia="宋体" w:cs="宋体"/>
              </w:rPr>
            </w:pPr>
            <w:r>
              <w:rPr>
                <w:rFonts w:hint="default" w:ascii="宋体" w:hAnsi="宋体" w:eastAsia="宋体" w:cs="宋体"/>
                <w:lang w:eastAsia="zh-CN"/>
              </w:rPr>
              <w:t>45</w:t>
            </w:r>
            <w:r>
              <w:rPr>
                <w:rFonts w:hint="eastAsia" w:ascii="宋体" w:hAnsi="宋体" w:eastAsia="宋体" w:cs="宋体"/>
                <w:b/>
                <w:bCs/>
                <w:sz w:val="21"/>
                <w:szCs w:val="21"/>
              </w:rPr>
              <w:t xml:space="preserve"> dB（A）</w:t>
            </w:r>
          </w:p>
        </w:tc>
      </w:tr>
    </w:tbl>
    <w:p>
      <w:pPr>
        <w:pStyle w:val="4"/>
        <w:outlineLvl w:val="9"/>
        <w:rPr>
          <w:rFonts w:hint="eastAsia" w:ascii="宋体" w:hAnsi="宋体" w:eastAsia="宋体" w:cs="宋体"/>
          <w:b w:val="0"/>
          <w:bCs/>
          <w:sz w:val="24"/>
          <w:szCs w:val="24"/>
        </w:rPr>
      </w:pPr>
    </w:p>
    <w:p>
      <w:pPr>
        <w:spacing w:line="360" w:lineRule="auto"/>
        <w:ind w:left="0" w:leftChars="0" w:firstLine="0" w:firstLineChars="0"/>
        <w:rPr>
          <w:rFonts w:ascii="宋体" w:hAnsi="宋体" w:eastAsia="宋体" w:cs="宋体"/>
          <w:b w:val="0"/>
          <w:bCs/>
          <w:sz w:val="24"/>
          <w:szCs w:val="24"/>
        </w:rPr>
      </w:pPr>
      <w:r>
        <w:rPr>
          <w:rFonts w:hint="eastAsia" w:ascii="宋体" w:hAnsi="宋体" w:eastAsia="宋体" w:cs="宋体"/>
          <w:b w:val="0"/>
          <w:bCs/>
          <w:sz w:val="24"/>
          <w:szCs w:val="24"/>
        </w:rPr>
        <w:t>⑷</w:t>
      </w:r>
      <w:r>
        <w:rPr>
          <w:rFonts w:hint="eastAsia" w:ascii="宋体" w:hAnsi="宋体" w:eastAsia="宋体" w:cs="宋体"/>
          <w:b w:val="0"/>
          <w:bCs/>
          <w:sz w:val="24"/>
          <w:szCs w:val="24"/>
          <w:lang w:val="en-US" w:eastAsia="zh-CN"/>
        </w:rPr>
        <w:t xml:space="preserve"> </w:t>
      </w:r>
      <w:r>
        <w:rPr>
          <w:rFonts w:hint="eastAsia" w:ascii="宋体" w:hAnsi="宋体" w:eastAsia="宋体" w:cs="宋体"/>
          <w:b w:val="0"/>
          <w:bCs/>
          <w:sz w:val="24"/>
          <w:szCs w:val="24"/>
        </w:rPr>
        <w:t>固废</w:t>
      </w:r>
      <w:r>
        <w:rPr>
          <w:rFonts w:hint="eastAsia" w:ascii="宋体" w:hAnsi="宋体" w:eastAsia="宋体" w:cs="宋体"/>
          <w:b w:val="0"/>
          <w:bCs/>
          <w:sz w:val="24"/>
          <w:szCs w:val="24"/>
          <w:lang w:val="en-US" w:eastAsia="zh-CN"/>
        </w:rPr>
        <w:t>执</w:t>
      </w:r>
      <w:r>
        <w:rPr>
          <w:rFonts w:hint="eastAsia" w:asciiTheme="minorEastAsia" w:hAnsiTheme="minorEastAsia" w:eastAsiaTheme="minorEastAsia" w:cstheme="minorEastAsia"/>
          <w:b w:val="0"/>
          <w:bCs w:val="0"/>
          <w:sz w:val="24"/>
          <w:szCs w:val="24"/>
          <w:lang w:val="en-US" w:eastAsia="zh-CN"/>
        </w:rPr>
        <w:t>行标准</w:t>
      </w:r>
    </w:p>
    <w:p>
      <w:pPr>
        <w:keepNext w:val="0"/>
        <w:keepLines w:val="0"/>
        <w:widowControl/>
        <w:suppressLineNumbers w:val="0"/>
        <w:spacing w:line="360" w:lineRule="auto"/>
        <w:ind w:left="0" w:leftChars="0"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 xml:space="preserve">本项目畜禽养殖过程产生的畜禽粪便、畜禽舍垫料等固体废物处理、处置应满足浙江省地方标准《畜禽养殖业污染物排放标准》（DB33/593-2005）中畜 禽养殖业废渣无害化环境标准： </w:t>
      </w:r>
    </w:p>
    <w:p>
      <w:pPr>
        <w:keepNext w:val="0"/>
        <w:keepLines w:val="0"/>
        <w:widowControl/>
        <w:suppressLineNumbers w:val="0"/>
        <w:spacing w:line="360" w:lineRule="auto"/>
        <w:ind w:left="0" w:leftChars="0" w:firstLine="240" w:firstLineChars="1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 xml:space="preserve">① 畜禽养殖业必须设置废渣的固定储存设施和场所，储存场所要有防止粪 </w:t>
      </w:r>
    </w:p>
    <w:p>
      <w:pPr>
        <w:keepNext w:val="0"/>
        <w:keepLines w:val="0"/>
        <w:widowControl/>
        <w:suppressLineNumbers w:val="0"/>
        <w:spacing w:line="360" w:lineRule="auto"/>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 xml:space="preserve">液渗漏、溢流措施。 </w:t>
      </w:r>
    </w:p>
    <w:p>
      <w:pPr>
        <w:keepNext w:val="0"/>
        <w:keepLines w:val="0"/>
        <w:widowControl/>
        <w:suppressLineNumbers w:val="0"/>
        <w:spacing w:line="360" w:lineRule="auto"/>
        <w:ind w:left="0" w:leftChars="0" w:firstLine="240" w:firstLineChars="1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 xml:space="preserve">② 所有畜禽养殖场的病死畜禽尸体均应及时处理，严禁随意丢弃，严禁出 </w:t>
      </w:r>
    </w:p>
    <w:p>
      <w:pPr>
        <w:keepNext w:val="0"/>
        <w:keepLines w:val="0"/>
        <w:widowControl/>
        <w:suppressLineNumbers w:val="0"/>
        <w:spacing w:line="360" w:lineRule="auto"/>
        <w:ind w:left="0" w:leftChars="0" w:firstLine="0" w:firstLineChars="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 xml:space="preserve">售或作为饲料再利用。病死畜禽尸体的处理与处置按《病害动物和病害动物产品生物安全处理规程》（GB16548-2016）和《病死及病害动物无害化处理技术规范》（农医发[2017]25 号）中有关规定执行。 </w:t>
      </w:r>
    </w:p>
    <w:p>
      <w:pPr>
        <w:keepNext w:val="0"/>
        <w:keepLines w:val="0"/>
        <w:widowControl/>
        <w:suppressLineNumbers w:val="0"/>
        <w:spacing w:line="360" w:lineRule="auto"/>
        <w:ind w:left="0" w:leftChars="0" w:firstLine="240" w:firstLineChars="1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 xml:space="preserve">③ 禁止直接将废渣倾倒入地表水体或其他环境中。畜禽粪便还田时，不能超过当地的最大农田负荷量，避免造成面源污染和地下水污染。 </w:t>
      </w:r>
    </w:p>
    <w:p>
      <w:pPr>
        <w:keepNext w:val="0"/>
        <w:keepLines w:val="0"/>
        <w:widowControl/>
        <w:suppressLineNumbers w:val="0"/>
        <w:spacing w:line="360" w:lineRule="auto"/>
        <w:ind w:left="0" w:leftChars="0" w:firstLine="240" w:firstLineChars="100"/>
        <w:jc w:val="left"/>
        <w:outlineLvl w:val="1"/>
        <w:rPr>
          <w:rFonts w:hint="eastAsia" w:asciiTheme="minorEastAsia" w:hAnsiTheme="minorEastAsia" w:eastAsiaTheme="minorEastAsia" w:cstheme="minorEastAsia"/>
          <w:sz w:val="24"/>
          <w:szCs w:val="24"/>
        </w:rPr>
      </w:pPr>
      <w:bookmarkStart w:id="114" w:name="_Toc6769"/>
      <w:bookmarkStart w:id="115" w:name="_Toc16882"/>
      <w:r>
        <w:rPr>
          <w:rFonts w:hint="eastAsia" w:asciiTheme="minorEastAsia" w:hAnsiTheme="minorEastAsia" w:eastAsiaTheme="minorEastAsia" w:cstheme="minorEastAsia"/>
          <w:color w:val="000000"/>
          <w:kern w:val="0"/>
          <w:sz w:val="24"/>
          <w:szCs w:val="24"/>
          <w:lang w:val="en-US" w:eastAsia="zh-CN" w:bidi="ar"/>
        </w:rPr>
        <w:t>④ 用于直接还田的畜禽粪便，必须进行经无害化处理。</w:t>
      </w:r>
      <w:bookmarkEnd w:id="114"/>
      <w:bookmarkEnd w:id="115"/>
      <w:r>
        <w:rPr>
          <w:rFonts w:hint="eastAsia" w:asciiTheme="minorEastAsia" w:hAnsiTheme="minorEastAsia" w:eastAsiaTheme="minorEastAsia" w:cstheme="minorEastAsia"/>
          <w:color w:val="000000"/>
          <w:kern w:val="0"/>
          <w:sz w:val="24"/>
          <w:szCs w:val="24"/>
          <w:lang w:val="en-US" w:eastAsia="zh-CN" w:bidi="ar"/>
        </w:rPr>
        <w:t xml:space="preserve"> </w:t>
      </w:r>
    </w:p>
    <w:p>
      <w:pPr>
        <w:keepNext w:val="0"/>
        <w:keepLines w:val="0"/>
        <w:widowControl/>
        <w:suppressLineNumbers w:val="0"/>
        <w:spacing w:line="360" w:lineRule="auto"/>
        <w:ind w:left="0" w:leftChars="0" w:firstLine="480" w:firstLineChars="200"/>
        <w:jc w:val="left"/>
        <w:rPr>
          <w:rFonts w:hint="eastAsia" w:asciiTheme="minorEastAsia" w:hAnsiTheme="minorEastAsia" w:eastAsiaTheme="minorEastAsia" w:cstheme="minorEastAsia"/>
          <w:color w:val="000000"/>
          <w:kern w:val="0"/>
          <w:sz w:val="24"/>
          <w:szCs w:val="24"/>
          <w:lang w:val="en-US" w:eastAsia="zh-CN" w:bidi="ar"/>
        </w:rPr>
      </w:pPr>
      <w:r>
        <w:rPr>
          <w:rFonts w:hint="eastAsia" w:asciiTheme="minorEastAsia" w:hAnsiTheme="minorEastAsia" w:eastAsiaTheme="minorEastAsia" w:cstheme="minorEastAsia"/>
          <w:color w:val="000000"/>
          <w:kern w:val="0"/>
          <w:sz w:val="24"/>
          <w:szCs w:val="24"/>
          <w:lang w:val="en-US" w:eastAsia="zh-CN" w:bidi="ar"/>
        </w:rPr>
        <w:t>项目产生的固体废物的处理、处置应满足《中华人民共和国固体废物污染环境防治法》中的有关规定要求。本项目一般固废暂存间位于辅助用房 1 南 侧，根据《一般工业固体废物贮存和填埋污染控制标准》（GB18599-2020），采用库房、包装工具(罐、桶、包装袋等)贮存一般工业固体废物过程的污染控制，不适用该标准，其贮存过程应满足相应防渗漏、防雨淋、防扬尘等环境保护要求。危险废物执行《国家危险废物名录(2021年版)》和《危险废物贮存污染控制标准》（GB18597-2001）及其修改清单。</w:t>
      </w:r>
      <w:bookmarkStart w:id="116" w:name="_Toc25729"/>
    </w:p>
    <w:p>
      <w:pPr>
        <w:pStyle w:val="2"/>
        <w:numPr>
          <w:ilvl w:val="0"/>
          <w:numId w:val="0"/>
        </w:numPr>
        <w:rPr>
          <w:rFonts w:hint="eastAsia" w:ascii="宋体" w:hAnsi="宋体" w:cs="宋体"/>
          <w:sz w:val="30"/>
          <w:szCs w:val="30"/>
          <w:lang w:val="en-US" w:eastAsia="zh-CN"/>
        </w:rPr>
      </w:pPr>
      <w:bookmarkStart w:id="117" w:name="_Toc21666"/>
      <w:bookmarkStart w:id="118" w:name="_Toc32407"/>
      <w:r>
        <w:rPr>
          <w:rFonts w:hint="eastAsia" w:ascii="宋体" w:hAnsi="宋体" w:cs="宋体"/>
          <w:sz w:val="30"/>
          <w:szCs w:val="30"/>
          <w:lang w:val="en-US" w:eastAsia="zh-CN"/>
        </w:rPr>
        <w:t>6、验收期间现场监测</w:t>
      </w:r>
      <w:bookmarkEnd w:id="117"/>
      <w:bookmarkEnd w:id="118"/>
    </w:p>
    <w:p>
      <w:pPr>
        <w:pStyle w:val="7"/>
        <w:spacing w:line="360" w:lineRule="auto"/>
        <w:ind w:left="0" w:leftChars="0" w:firstLine="480" w:firstLineChars="200"/>
        <w:rPr>
          <w:rFonts w:hint="eastAsia" w:asciiTheme="minorEastAsia" w:hAnsiTheme="minorEastAsia" w:eastAsiaTheme="minorEastAsia" w:cstheme="minorEastAsia"/>
          <w:b w:val="0"/>
          <w:bCs w:val="0"/>
          <w:color w:val="auto"/>
          <w:kern w:val="0"/>
          <w:sz w:val="24"/>
          <w:szCs w:val="24"/>
          <w:lang w:val="en-US" w:eastAsia="zh-CN" w:bidi="ar"/>
        </w:rPr>
      </w:pPr>
      <w:r>
        <w:rPr>
          <w:rFonts w:hint="eastAsia" w:asciiTheme="minorEastAsia" w:hAnsiTheme="minorEastAsia" w:eastAsiaTheme="minorEastAsia" w:cstheme="minorEastAsia"/>
          <w:color w:val="auto"/>
          <w:sz w:val="24"/>
          <w:szCs w:val="24"/>
          <w:lang w:val="en-US" w:eastAsia="zh-CN"/>
        </w:rPr>
        <w:t>企业在实际试运行过程中的生产工艺及环保污染设施发生了变更，①</w:t>
      </w:r>
      <w:r>
        <w:rPr>
          <w:rFonts w:hint="eastAsia" w:asciiTheme="minorEastAsia" w:hAnsiTheme="minorEastAsia" w:eastAsiaTheme="minorEastAsia" w:cstheme="minorEastAsia"/>
          <w:color w:val="auto"/>
          <w:sz w:val="24"/>
          <w:szCs w:val="24"/>
          <w:vertAlign w:val="baseline"/>
          <w:lang w:val="en-US" w:eastAsia="zh-CN"/>
        </w:rPr>
        <w:t>有机肥基料的生产工艺变更，不再进行有机肥基料的生产，故无废气排放。②</w:t>
      </w:r>
      <w:r>
        <w:rPr>
          <w:rFonts w:hint="eastAsia" w:asciiTheme="minorEastAsia" w:hAnsiTheme="minorEastAsia" w:eastAsiaTheme="minorEastAsia" w:cstheme="minorEastAsia"/>
          <w:color w:val="auto"/>
          <w:kern w:val="0"/>
          <w:sz w:val="24"/>
          <w:szCs w:val="24"/>
          <w:lang w:val="en-US" w:eastAsia="zh-CN" w:bidi="ar"/>
        </w:rPr>
        <w:t>企业采用干清粪养殖工艺，饲养过程中少量的养殖废水混于牛粪和饲料残渣中</w:t>
      </w:r>
      <w:r>
        <w:rPr>
          <w:rFonts w:hint="eastAsia" w:asciiTheme="minorEastAsia" w:hAnsiTheme="minorEastAsia" w:eastAsiaTheme="minorEastAsia" w:cstheme="minorEastAsia"/>
          <w:b w:val="0"/>
          <w:bCs w:val="0"/>
          <w:color w:val="auto"/>
          <w:kern w:val="0"/>
          <w:sz w:val="24"/>
          <w:szCs w:val="24"/>
          <w:lang w:val="en-US" w:eastAsia="zh-CN" w:bidi="ar"/>
        </w:rPr>
        <w:t>、饲料残渣中一并委托进行了处理，企业因无养殖废水排放，企业配套的100m</w:t>
      </w:r>
      <w:r>
        <w:rPr>
          <w:rFonts w:hint="eastAsia" w:asciiTheme="minorEastAsia" w:hAnsiTheme="minorEastAsia" w:eastAsiaTheme="minorEastAsia" w:cstheme="minorEastAsia"/>
          <w:b w:val="0"/>
          <w:bCs w:val="0"/>
          <w:color w:val="auto"/>
          <w:kern w:val="0"/>
          <w:sz w:val="24"/>
          <w:szCs w:val="24"/>
          <w:vertAlign w:val="superscript"/>
          <w:lang w:val="en-US" w:eastAsia="zh-CN" w:bidi="ar"/>
        </w:rPr>
        <w:t>3</w:t>
      </w:r>
      <w:r>
        <w:rPr>
          <w:rFonts w:hint="eastAsia" w:asciiTheme="minorEastAsia" w:hAnsiTheme="minorEastAsia" w:eastAsiaTheme="minorEastAsia" w:cstheme="minorEastAsia"/>
          <w:b w:val="0"/>
          <w:bCs w:val="0"/>
          <w:color w:val="auto"/>
          <w:kern w:val="0"/>
          <w:sz w:val="24"/>
          <w:szCs w:val="24"/>
          <w:lang w:val="en-US" w:eastAsia="zh-CN" w:bidi="ar"/>
        </w:rPr>
        <w:t>/d污水处理设施目前暂缓建设。</w:t>
      </w:r>
    </w:p>
    <w:p>
      <w:pPr>
        <w:pStyle w:val="7"/>
        <w:spacing w:line="360" w:lineRule="auto"/>
        <w:ind w:left="0" w:leftChars="0" w:firstLine="480" w:firstLineChars="200"/>
        <w:rPr>
          <w:rFonts w:hint="default"/>
          <w:lang w:val="en-US" w:eastAsia="zh-CN"/>
        </w:rPr>
      </w:pPr>
      <w:r>
        <w:rPr>
          <w:rFonts w:hint="eastAsia" w:asciiTheme="minorEastAsia" w:hAnsiTheme="minorEastAsia" w:eastAsiaTheme="minorEastAsia" w:cstheme="minorEastAsia"/>
          <w:b w:val="0"/>
          <w:bCs w:val="0"/>
          <w:color w:val="auto"/>
          <w:kern w:val="0"/>
          <w:sz w:val="24"/>
          <w:szCs w:val="24"/>
          <w:lang w:val="en-US" w:eastAsia="zh-CN" w:bidi="ar"/>
        </w:rPr>
        <w:t>由于企业</w:t>
      </w:r>
      <w:r>
        <w:rPr>
          <w:rFonts w:hint="eastAsia" w:asciiTheme="minorEastAsia" w:hAnsiTheme="minorEastAsia" w:eastAsiaTheme="minorEastAsia" w:cstheme="minorEastAsia"/>
          <w:color w:val="auto"/>
          <w:sz w:val="24"/>
          <w:szCs w:val="24"/>
          <w:lang w:val="en-US" w:eastAsia="zh-CN"/>
        </w:rPr>
        <w:t>生产工艺及环保污染治理设施发生了变更</w:t>
      </w:r>
      <w:r>
        <w:rPr>
          <w:rFonts w:hint="eastAsia" w:asciiTheme="minorEastAsia" w:hAnsiTheme="minorEastAsia" w:eastAsiaTheme="minorEastAsia" w:cstheme="minorEastAsia"/>
          <w:b w:val="0"/>
          <w:bCs w:val="0"/>
          <w:color w:val="auto"/>
          <w:kern w:val="0"/>
          <w:sz w:val="24"/>
          <w:szCs w:val="24"/>
          <w:lang w:val="en-US" w:eastAsia="zh-CN" w:bidi="ar"/>
        </w:rPr>
        <w:t>，原有污染源排放相应减少故本次一期项目的环境保护验收的现场监测也作了相应的调整。见下表6.1-1</w:t>
      </w:r>
    </w:p>
    <w:p>
      <w:pPr>
        <w:pStyle w:val="3"/>
        <w:ind w:left="0" w:leftChars="0" w:firstLine="0" w:firstLineChars="0"/>
        <w:jc w:val="both"/>
        <w:outlineLvl w:val="1"/>
        <w:rPr>
          <w:rFonts w:hint="eastAsia" w:asciiTheme="minorEastAsia" w:hAnsiTheme="minorEastAsia" w:eastAsiaTheme="minorEastAsia" w:cstheme="minorEastAsia"/>
          <w:b/>
          <w:bCs/>
          <w:sz w:val="28"/>
          <w:szCs w:val="28"/>
          <w:lang w:val="en-US" w:eastAsia="zh-CN"/>
        </w:rPr>
      </w:pPr>
      <w:bookmarkStart w:id="119" w:name="_Toc11977"/>
      <w:r>
        <w:rPr>
          <w:rFonts w:hint="eastAsia" w:asciiTheme="minorEastAsia" w:hAnsiTheme="minorEastAsia" w:eastAsiaTheme="minorEastAsia" w:cstheme="minorEastAsia"/>
          <w:b/>
          <w:bCs/>
          <w:sz w:val="28"/>
          <w:szCs w:val="28"/>
          <w:lang w:val="en-US" w:eastAsia="zh-CN"/>
        </w:rPr>
        <w:t>6.1、监测内容</w:t>
      </w:r>
      <w:bookmarkEnd w:id="119"/>
    </w:p>
    <w:p>
      <w:pPr>
        <w:pStyle w:val="3"/>
        <w:numPr>
          <w:ilvl w:val="0"/>
          <w:numId w:val="0"/>
        </w:numPr>
        <w:jc w:val="both"/>
        <w:rPr>
          <w:rFonts w:hint="default" w:asciiTheme="minorEastAsia" w:hAnsiTheme="minorEastAsia" w:eastAsiaTheme="minorEastAsia" w:cstheme="minorEastAsia"/>
          <w:lang w:val="en-US" w:eastAsia="zh-CN"/>
        </w:rPr>
      </w:pPr>
      <w:r>
        <w:rPr>
          <w:rFonts w:hint="eastAsia" w:ascii="宋体" w:hAnsi="宋体" w:eastAsia="宋体" w:cs="宋体"/>
          <w:lang w:val="en-US" w:eastAsia="zh-CN"/>
        </w:rPr>
        <w:t>①</w:t>
      </w:r>
      <w:r>
        <w:rPr>
          <w:rFonts w:hint="eastAsia" w:asciiTheme="minorEastAsia" w:hAnsiTheme="minorEastAsia" w:eastAsiaTheme="minorEastAsia" w:cstheme="minorEastAsia"/>
          <w:lang w:val="en-US" w:eastAsia="zh-CN"/>
        </w:rPr>
        <w:t xml:space="preserve"> 验收监测内容祥见表6.1-1</w:t>
      </w:r>
    </w:p>
    <w:p>
      <w:pPr>
        <w:pStyle w:val="3"/>
        <w:numPr>
          <w:ilvl w:val="0"/>
          <w:numId w:val="0"/>
        </w:numPr>
        <w:ind w:firstLine="1440" w:firstLineChars="600"/>
        <w:jc w:val="both"/>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表6.1-1   现场监测内容一览表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1"/>
        <w:gridCol w:w="1575"/>
        <w:gridCol w:w="1690"/>
        <w:gridCol w:w="1095"/>
        <w:gridCol w:w="1200"/>
        <w:gridCol w:w="1055"/>
        <w:gridCol w:w="9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1" w:type="dxa"/>
            <w:vAlign w:val="center"/>
          </w:tcPr>
          <w:p>
            <w:pPr>
              <w:pStyle w:val="3"/>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监测</w:t>
            </w:r>
          </w:p>
          <w:p>
            <w:pPr>
              <w:pStyle w:val="3"/>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类别</w:t>
            </w:r>
          </w:p>
        </w:tc>
        <w:tc>
          <w:tcPr>
            <w:tcW w:w="1575" w:type="dxa"/>
            <w:vAlign w:val="center"/>
          </w:tcPr>
          <w:p>
            <w:pPr>
              <w:pStyle w:val="3"/>
              <w:numPr>
                <w:ilvl w:val="0"/>
                <w:numId w:val="0"/>
              </w:numPr>
              <w:jc w:val="center"/>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监测点位</w:t>
            </w:r>
          </w:p>
        </w:tc>
        <w:tc>
          <w:tcPr>
            <w:tcW w:w="1690" w:type="dxa"/>
            <w:vAlign w:val="center"/>
          </w:tcPr>
          <w:p>
            <w:pPr>
              <w:pStyle w:val="3"/>
              <w:numPr>
                <w:ilvl w:val="0"/>
                <w:numId w:val="0"/>
              </w:numPr>
              <w:jc w:val="center"/>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监测因子</w:t>
            </w:r>
          </w:p>
        </w:tc>
        <w:tc>
          <w:tcPr>
            <w:tcW w:w="1095" w:type="dxa"/>
            <w:vAlign w:val="center"/>
          </w:tcPr>
          <w:p>
            <w:pPr>
              <w:pStyle w:val="3"/>
              <w:numPr>
                <w:ilvl w:val="0"/>
                <w:numId w:val="0"/>
              </w:numPr>
              <w:jc w:val="center"/>
              <w:rPr>
                <w:rFonts w:hint="default"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环评监测内容</w:t>
            </w:r>
          </w:p>
        </w:tc>
        <w:tc>
          <w:tcPr>
            <w:tcW w:w="1200" w:type="dxa"/>
            <w:vAlign w:val="center"/>
          </w:tcPr>
          <w:p>
            <w:pPr>
              <w:pStyle w:val="3"/>
              <w:numPr>
                <w:ilvl w:val="0"/>
                <w:numId w:val="0"/>
              </w:numPr>
              <w:jc w:val="center"/>
              <w:rPr>
                <w:rFonts w:hint="default"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一期监测内容</w:t>
            </w:r>
          </w:p>
        </w:tc>
        <w:tc>
          <w:tcPr>
            <w:tcW w:w="1055" w:type="dxa"/>
            <w:vAlign w:val="center"/>
          </w:tcPr>
          <w:p>
            <w:pPr>
              <w:pStyle w:val="3"/>
              <w:numPr>
                <w:ilvl w:val="0"/>
                <w:numId w:val="0"/>
              </w:numPr>
              <w:jc w:val="center"/>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监测</w:t>
            </w:r>
          </w:p>
          <w:p>
            <w:pPr>
              <w:pStyle w:val="3"/>
              <w:numPr>
                <w:ilvl w:val="0"/>
                <w:numId w:val="0"/>
              </w:numPr>
              <w:jc w:val="center"/>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频次</w:t>
            </w:r>
          </w:p>
        </w:tc>
        <w:tc>
          <w:tcPr>
            <w:tcW w:w="946" w:type="dxa"/>
            <w:vAlign w:val="center"/>
          </w:tcPr>
          <w:p>
            <w:pPr>
              <w:pStyle w:val="3"/>
              <w:numPr>
                <w:ilvl w:val="0"/>
                <w:numId w:val="0"/>
              </w:numPr>
              <w:jc w:val="center"/>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监测</w:t>
            </w:r>
          </w:p>
          <w:p>
            <w:pPr>
              <w:pStyle w:val="3"/>
              <w:numPr>
                <w:ilvl w:val="0"/>
                <w:numId w:val="0"/>
              </w:numPr>
              <w:jc w:val="center"/>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961" w:type="dxa"/>
            <w:vMerge w:val="restart"/>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有组织</w:t>
            </w:r>
          </w:p>
          <w:p>
            <w:pPr>
              <w:pStyle w:val="3"/>
              <w:numPr>
                <w:ilvl w:val="0"/>
                <w:numId w:val="0"/>
              </w:numPr>
              <w:spacing w:line="240" w:lineRule="auto"/>
              <w:jc w:val="center"/>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废气</w:t>
            </w:r>
          </w:p>
        </w:tc>
        <w:tc>
          <w:tcPr>
            <w:tcW w:w="1575" w:type="dxa"/>
            <w:vAlign w:val="center"/>
          </w:tcPr>
          <w:p>
            <w:pPr>
              <w:pStyle w:val="3"/>
              <w:numPr>
                <w:ilvl w:val="0"/>
                <w:numId w:val="0"/>
              </w:num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好养堆肥发酵</w:t>
            </w:r>
          </w:p>
        </w:tc>
        <w:tc>
          <w:tcPr>
            <w:tcW w:w="1690" w:type="dxa"/>
            <w:vMerge w:val="restart"/>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H</w:t>
            </w:r>
            <w:r>
              <w:rPr>
                <w:rFonts w:hint="eastAsia" w:asciiTheme="minorEastAsia" w:hAnsiTheme="minorEastAsia" w:eastAsiaTheme="minorEastAsia" w:cstheme="minorEastAsia"/>
                <w:sz w:val="21"/>
                <w:szCs w:val="21"/>
                <w:vertAlign w:val="subscript"/>
                <w:lang w:val="en-US" w:eastAsia="zh-CN"/>
              </w:rPr>
              <w:t>3</w:t>
            </w:r>
            <w:r>
              <w:rPr>
                <w:rFonts w:hint="eastAsia" w:asciiTheme="minorEastAsia" w:hAnsiTheme="minorEastAsia" w:eastAsiaTheme="minorEastAsia" w:cstheme="minorEastAsia"/>
                <w:sz w:val="21"/>
                <w:szCs w:val="21"/>
                <w:vertAlign w:val="baseline"/>
                <w:lang w:val="en-US" w:eastAsia="zh-CN"/>
              </w:rPr>
              <w:t>、H</w:t>
            </w:r>
            <w:r>
              <w:rPr>
                <w:rFonts w:hint="eastAsia" w:asciiTheme="minorEastAsia" w:hAnsiTheme="minorEastAsia" w:eastAsiaTheme="minorEastAsia" w:cstheme="minorEastAsia"/>
                <w:sz w:val="21"/>
                <w:szCs w:val="21"/>
                <w:vertAlign w:val="subscript"/>
                <w:lang w:val="en-US" w:eastAsia="zh-CN"/>
              </w:rPr>
              <w:t>2</w:t>
            </w:r>
            <w:r>
              <w:rPr>
                <w:rFonts w:hint="eastAsia" w:asciiTheme="minorEastAsia" w:hAnsiTheme="minorEastAsia" w:eastAsiaTheme="minorEastAsia" w:cstheme="minorEastAsia"/>
                <w:sz w:val="21"/>
                <w:szCs w:val="21"/>
                <w:vertAlign w:val="baseline"/>
                <w:lang w:val="en-US" w:eastAsia="zh-CN"/>
              </w:rPr>
              <w:t>S、臭气浓度（无量纲）</w:t>
            </w:r>
          </w:p>
        </w:tc>
        <w:tc>
          <w:tcPr>
            <w:tcW w:w="1095" w:type="dxa"/>
            <w:vAlign w:val="center"/>
          </w:tcPr>
          <w:p>
            <w:pPr>
              <w:pStyle w:val="3"/>
              <w:numPr>
                <w:ilvl w:val="0"/>
                <w:numId w:val="0"/>
              </w:numPr>
              <w:spacing w:line="240" w:lineRule="auto"/>
              <w:ind w:firstLine="240" w:firstLineChars="100"/>
              <w:jc w:val="both"/>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w:t>
            </w:r>
          </w:p>
        </w:tc>
        <w:tc>
          <w:tcPr>
            <w:tcW w:w="1200" w:type="dxa"/>
            <w:vAlign w:val="center"/>
          </w:tcPr>
          <w:p>
            <w:pPr>
              <w:pStyle w:val="3"/>
              <w:numPr>
                <w:ilvl w:val="0"/>
                <w:numId w:val="0"/>
              </w:numPr>
              <w:spacing w:line="240" w:lineRule="auto"/>
              <w:jc w:val="center"/>
              <w:rPr>
                <w:rFonts w:hint="default"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w:t>
            </w:r>
          </w:p>
        </w:tc>
        <w:tc>
          <w:tcPr>
            <w:tcW w:w="1055" w:type="dxa"/>
            <w:vMerge w:val="restart"/>
            <w:vAlign w:val="center"/>
          </w:tcPr>
          <w:p>
            <w:pPr>
              <w:pStyle w:val="3"/>
              <w:numPr>
                <w:ilvl w:val="0"/>
                <w:numId w:val="0"/>
              </w:numPr>
              <w:spacing w:line="240" w:lineRule="auto"/>
              <w:jc w:val="center"/>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2次/生产周期</w:t>
            </w:r>
          </w:p>
        </w:tc>
        <w:tc>
          <w:tcPr>
            <w:tcW w:w="946" w:type="dxa"/>
            <w:vMerge w:val="restart"/>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连续</w:t>
            </w:r>
          </w:p>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监测</w:t>
            </w:r>
          </w:p>
          <w:p>
            <w:pPr>
              <w:pStyle w:val="3"/>
              <w:numPr>
                <w:ilvl w:val="0"/>
                <w:numId w:val="0"/>
              </w:numPr>
              <w:spacing w:line="240" w:lineRule="auto"/>
              <w:jc w:val="center"/>
              <w:rPr>
                <w:rFonts w:hint="default"/>
                <w:vertAlign w:val="baseline"/>
                <w:lang w:val="en-US" w:eastAsia="zh-CN"/>
              </w:rPr>
            </w:pPr>
            <w:r>
              <w:rPr>
                <w:rFonts w:hint="eastAsia" w:asciiTheme="minorEastAsia" w:hAnsiTheme="minorEastAsia" w:eastAsiaTheme="minorEastAsia" w:cstheme="minorEastAsia"/>
                <w:sz w:val="21"/>
                <w:szCs w:val="21"/>
                <w:vertAlign w:val="baseline"/>
                <w:lang w:val="en-US" w:eastAsia="zh-CN"/>
              </w:rPr>
              <w:t>2天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961" w:type="dxa"/>
            <w:vMerge w:val="continue"/>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1575" w:type="dxa"/>
            <w:vAlign w:val="center"/>
          </w:tcPr>
          <w:p>
            <w:pPr>
              <w:pStyle w:val="3"/>
              <w:numPr>
                <w:ilvl w:val="0"/>
                <w:numId w:val="0"/>
              </w:num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污水处理站</w:t>
            </w:r>
          </w:p>
        </w:tc>
        <w:tc>
          <w:tcPr>
            <w:tcW w:w="1690" w:type="dxa"/>
            <w:vMerge w:val="continue"/>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1095" w:type="dxa"/>
            <w:vAlign w:val="center"/>
          </w:tcPr>
          <w:p>
            <w:pPr>
              <w:numPr>
                <w:ilvl w:val="0"/>
                <w:numId w:val="0"/>
              </w:numPr>
              <w:spacing w:line="240" w:lineRule="auto"/>
              <w:ind w:firstLine="240" w:firstLineChars="100"/>
              <w:jc w:val="both"/>
              <w:rPr>
                <w:rFonts w:hint="eastAsia" w:asciiTheme="minorEastAsia" w:hAnsiTheme="minorEastAsia" w:eastAsiaTheme="minorEastAsia" w:cstheme="minorEastAsia"/>
                <w:vertAlign w:val="baseline"/>
                <w:lang w:val="en-US" w:eastAsia="zh-CN"/>
              </w:rPr>
            </w:pPr>
            <w:r>
              <w:rPr>
                <w:rFonts w:hint="eastAsia" w:ascii="仿宋" w:hAnsi="仿宋" w:eastAsia="仿宋" w:cs="仿宋"/>
                <w:vertAlign w:val="baseline"/>
                <w:lang w:val="en-US" w:eastAsia="zh-CN"/>
              </w:rPr>
              <w:t>√</w:t>
            </w:r>
          </w:p>
        </w:tc>
        <w:tc>
          <w:tcPr>
            <w:tcW w:w="1200" w:type="dxa"/>
            <w:vAlign w:val="center"/>
          </w:tcPr>
          <w:p>
            <w:pPr>
              <w:pStyle w:val="3"/>
              <w:numPr>
                <w:ilvl w:val="0"/>
                <w:numId w:val="0"/>
              </w:numPr>
              <w:spacing w:line="240" w:lineRule="auto"/>
              <w:jc w:val="center"/>
              <w:rPr>
                <w:rFonts w:hint="default"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w:t>
            </w:r>
          </w:p>
        </w:tc>
        <w:tc>
          <w:tcPr>
            <w:tcW w:w="1055" w:type="dxa"/>
            <w:vMerge w:val="continue"/>
            <w:vAlign w:val="center"/>
          </w:tcPr>
          <w:p>
            <w:pPr>
              <w:pStyle w:val="3"/>
              <w:numPr>
                <w:ilvl w:val="0"/>
                <w:numId w:val="0"/>
              </w:numPr>
              <w:spacing w:line="240" w:lineRule="auto"/>
              <w:jc w:val="center"/>
              <w:rPr>
                <w:rFonts w:hint="eastAsia" w:asciiTheme="minorEastAsia" w:hAnsiTheme="minorEastAsia" w:eastAsiaTheme="minorEastAsia" w:cstheme="minorEastAsia"/>
                <w:vertAlign w:val="baseline"/>
                <w:lang w:val="en-US" w:eastAsia="zh-CN"/>
              </w:rPr>
            </w:pPr>
          </w:p>
        </w:tc>
        <w:tc>
          <w:tcPr>
            <w:tcW w:w="946" w:type="dxa"/>
            <w:vMerge w:val="continue"/>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61" w:type="dxa"/>
            <w:vMerge w:val="continue"/>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p>
        </w:tc>
        <w:tc>
          <w:tcPr>
            <w:tcW w:w="1575" w:type="dxa"/>
            <w:vAlign w:val="center"/>
          </w:tcPr>
          <w:p>
            <w:pPr>
              <w:pStyle w:val="3"/>
              <w:numPr>
                <w:ilvl w:val="0"/>
                <w:numId w:val="0"/>
              </w:numPr>
              <w:spacing w:line="240" w:lineRule="auto"/>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饲料加工</w:t>
            </w:r>
          </w:p>
        </w:tc>
        <w:tc>
          <w:tcPr>
            <w:tcW w:w="1690" w:type="dxa"/>
            <w:vAlign w:val="center"/>
          </w:tcPr>
          <w:p>
            <w:pPr>
              <w:pStyle w:val="3"/>
              <w:numPr>
                <w:ilvl w:val="0"/>
                <w:numId w:val="0"/>
              </w:numPr>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颗粒物</w:t>
            </w:r>
          </w:p>
        </w:tc>
        <w:tc>
          <w:tcPr>
            <w:tcW w:w="1095" w:type="dxa"/>
            <w:vAlign w:val="center"/>
          </w:tcPr>
          <w:p>
            <w:pPr>
              <w:numPr>
                <w:ilvl w:val="0"/>
                <w:numId w:val="0"/>
              </w:numPr>
              <w:spacing w:line="240" w:lineRule="auto"/>
              <w:ind w:firstLine="240" w:firstLineChars="100"/>
              <w:jc w:val="both"/>
              <w:rPr>
                <w:rFonts w:hint="eastAsia" w:asciiTheme="minorEastAsia" w:hAnsiTheme="minorEastAsia" w:eastAsiaTheme="minorEastAsia" w:cstheme="minorEastAsia"/>
                <w:vertAlign w:val="baseline"/>
                <w:lang w:val="en-US" w:eastAsia="zh-CN"/>
              </w:rPr>
            </w:pPr>
            <w:r>
              <w:rPr>
                <w:rFonts w:hint="eastAsia" w:ascii="仿宋" w:hAnsi="仿宋" w:eastAsia="仿宋" w:cs="仿宋"/>
                <w:vertAlign w:val="baseline"/>
                <w:lang w:val="en-US" w:eastAsia="zh-CN"/>
              </w:rPr>
              <w:t>√</w:t>
            </w:r>
          </w:p>
        </w:tc>
        <w:tc>
          <w:tcPr>
            <w:tcW w:w="1200" w:type="dxa"/>
            <w:vAlign w:val="center"/>
          </w:tcPr>
          <w:p>
            <w:pPr>
              <w:pStyle w:val="3"/>
              <w:numPr>
                <w:ilvl w:val="0"/>
                <w:numId w:val="0"/>
              </w:numPr>
              <w:spacing w:line="240" w:lineRule="auto"/>
              <w:jc w:val="center"/>
              <w:rPr>
                <w:rFonts w:hint="eastAsia" w:asciiTheme="minorEastAsia" w:hAnsiTheme="minorEastAsia" w:eastAsiaTheme="minorEastAsia" w:cstheme="minorEastAsia"/>
                <w:vertAlign w:val="baseline"/>
                <w:lang w:val="en-US" w:eastAsia="zh-CN"/>
              </w:rPr>
            </w:pPr>
            <w:r>
              <w:rPr>
                <w:rFonts w:hint="eastAsia" w:ascii="仿宋" w:hAnsi="仿宋" w:eastAsia="仿宋" w:cs="仿宋"/>
                <w:vertAlign w:val="baseline"/>
                <w:lang w:val="en-US" w:eastAsia="zh-CN"/>
              </w:rPr>
              <w:t>√</w:t>
            </w:r>
          </w:p>
        </w:tc>
        <w:tc>
          <w:tcPr>
            <w:tcW w:w="1055" w:type="dxa"/>
            <w:vMerge w:val="continue"/>
            <w:vAlign w:val="center"/>
          </w:tcPr>
          <w:p>
            <w:pPr>
              <w:pStyle w:val="3"/>
              <w:numPr>
                <w:ilvl w:val="0"/>
                <w:numId w:val="0"/>
              </w:numPr>
              <w:spacing w:line="240" w:lineRule="auto"/>
              <w:jc w:val="center"/>
              <w:rPr>
                <w:rFonts w:hint="eastAsia" w:asciiTheme="minorEastAsia" w:hAnsiTheme="minorEastAsia" w:eastAsiaTheme="minorEastAsia" w:cstheme="minorEastAsia"/>
                <w:vertAlign w:val="baseline"/>
                <w:lang w:val="en-US" w:eastAsia="zh-CN"/>
              </w:rPr>
            </w:pPr>
          </w:p>
        </w:tc>
        <w:tc>
          <w:tcPr>
            <w:tcW w:w="946" w:type="dxa"/>
            <w:vMerge w:val="continue"/>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1" w:type="dxa"/>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无组织</w:t>
            </w:r>
          </w:p>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废气</w:t>
            </w:r>
          </w:p>
        </w:tc>
        <w:tc>
          <w:tcPr>
            <w:tcW w:w="1575" w:type="dxa"/>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厂周界</w:t>
            </w:r>
          </w:p>
        </w:tc>
        <w:tc>
          <w:tcPr>
            <w:tcW w:w="1690" w:type="dxa"/>
            <w:vAlign w:val="center"/>
          </w:tcPr>
          <w:p>
            <w:pPr>
              <w:pStyle w:val="3"/>
              <w:numPr>
                <w:ilvl w:val="0"/>
                <w:numId w:val="0"/>
              </w:numPr>
              <w:spacing w:line="240" w:lineRule="auto"/>
              <w:jc w:val="center"/>
              <w:rPr>
                <w:rFonts w:hint="default"/>
                <w:vertAlign w:val="baseline"/>
                <w:lang w:val="en-US" w:eastAsia="zh-CN"/>
              </w:rPr>
            </w:pPr>
            <w:r>
              <w:rPr>
                <w:rFonts w:hint="eastAsia" w:asciiTheme="minorEastAsia" w:hAnsiTheme="minorEastAsia" w:eastAsiaTheme="minorEastAsia" w:cstheme="minorEastAsia"/>
                <w:sz w:val="21"/>
                <w:szCs w:val="21"/>
                <w:vertAlign w:val="baseline"/>
                <w:lang w:val="en-US" w:eastAsia="zh-CN"/>
              </w:rPr>
              <w:t>NH</w:t>
            </w:r>
            <w:r>
              <w:rPr>
                <w:rFonts w:hint="eastAsia" w:asciiTheme="minorEastAsia" w:hAnsiTheme="minorEastAsia" w:eastAsiaTheme="minorEastAsia" w:cstheme="minorEastAsia"/>
                <w:sz w:val="21"/>
                <w:szCs w:val="21"/>
                <w:vertAlign w:val="subscript"/>
                <w:lang w:val="en-US" w:eastAsia="zh-CN"/>
              </w:rPr>
              <w:t>3</w:t>
            </w:r>
            <w:r>
              <w:rPr>
                <w:rFonts w:hint="eastAsia" w:asciiTheme="minorEastAsia" w:hAnsiTheme="minorEastAsia" w:eastAsiaTheme="minorEastAsia" w:cstheme="minorEastAsia"/>
                <w:sz w:val="21"/>
                <w:szCs w:val="21"/>
                <w:vertAlign w:val="baseline"/>
                <w:lang w:val="en-US" w:eastAsia="zh-CN"/>
              </w:rPr>
              <w:t>、H</w:t>
            </w:r>
            <w:r>
              <w:rPr>
                <w:rFonts w:hint="eastAsia" w:asciiTheme="minorEastAsia" w:hAnsiTheme="minorEastAsia" w:eastAsiaTheme="minorEastAsia" w:cstheme="minorEastAsia"/>
                <w:sz w:val="21"/>
                <w:szCs w:val="21"/>
                <w:vertAlign w:val="subscript"/>
                <w:lang w:val="en-US" w:eastAsia="zh-CN"/>
              </w:rPr>
              <w:t>2</w:t>
            </w:r>
            <w:r>
              <w:rPr>
                <w:rFonts w:hint="eastAsia" w:asciiTheme="minorEastAsia" w:hAnsiTheme="minorEastAsia" w:eastAsiaTheme="minorEastAsia" w:cstheme="minorEastAsia"/>
                <w:sz w:val="21"/>
                <w:szCs w:val="21"/>
                <w:vertAlign w:val="baseline"/>
                <w:lang w:val="en-US" w:eastAsia="zh-CN"/>
              </w:rPr>
              <w:t>S、臭气浓度（无量纲）、颗粒物</w:t>
            </w:r>
          </w:p>
        </w:tc>
        <w:tc>
          <w:tcPr>
            <w:tcW w:w="1095" w:type="dxa"/>
            <w:vAlign w:val="center"/>
          </w:tcPr>
          <w:p>
            <w:pPr>
              <w:numPr>
                <w:ilvl w:val="0"/>
                <w:numId w:val="0"/>
              </w:numPr>
              <w:spacing w:line="240" w:lineRule="auto"/>
              <w:ind w:firstLine="240" w:firstLineChars="100"/>
              <w:jc w:val="both"/>
              <w:rPr>
                <w:rFonts w:hint="default"/>
                <w:vertAlign w:val="baseline"/>
                <w:lang w:val="en-US" w:eastAsia="zh-CN"/>
              </w:rPr>
            </w:pPr>
            <w:r>
              <w:rPr>
                <w:rFonts w:hint="eastAsia" w:ascii="仿宋" w:hAnsi="仿宋" w:eastAsia="仿宋" w:cs="仿宋"/>
                <w:vertAlign w:val="baseline"/>
                <w:lang w:val="en-US" w:eastAsia="zh-CN"/>
              </w:rPr>
              <w:t>√</w:t>
            </w:r>
          </w:p>
        </w:tc>
        <w:tc>
          <w:tcPr>
            <w:tcW w:w="1200" w:type="dxa"/>
            <w:vAlign w:val="center"/>
          </w:tcPr>
          <w:p>
            <w:pPr>
              <w:pStyle w:val="3"/>
              <w:numPr>
                <w:ilvl w:val="0"/>
                <w:numId w:val="0"/>
              </w:numPr>
              <w:spacing w:line="240" w:lineRule="auto"/>
              <w:jc w:val="center"/>
              <w:rPr>
                <w:rFonts w:hint="default"/>
                <w:vertAlign w:val="baseline"/>
                <w:lang w:val="en-US" w:eastAsia="zh-CN"/>
              </w:rPr>
            </w:pPr>
            <w:r>
              <w:rPr>
                <w:rFonts w:hint="eastAsia" w:ascii="仿宋" w:hAnsi="仿宋" w:eastAsia="仿宋" w:cs="仿宋"/>
                <w:vertAlign w:val="baseline"/>
                <w:lang w:val="en-US" w:eastAsia="zh-CN"/>
              </w:rPr>
              <w:t>√</w:t>
            </w:r>
          </w:p>
        </w:tc>
        <w:tc>
          <w:tcPr>
            <w:tcW w:w="1055" w:type="dxa"/>
            <w:vMerge w:val="restart"/>
            <w:vAlign w:val="center"/>
          </w:tcPr>
          <w:p>
            <w:pPr>
              <w:pStyle w:val="3"/>
              <w:numPr>
                <w:ilvl w:val="0"/>
                <w:numId w:val="0"/>
              </w:numPr>
              <w:spacing w:line="240" w:lineRule="auto"/>
              <w:jc w:val="center"/>
              <w:rPr>
                <w:rFonts w:hint="eastAsia"/>
                <w:vertAlign w:val="baseline"/>
                <w:lang w:val="en-US" w:eastAsia="zh-CN"/>
              </w:rPr>
            </w:pPr>
            <w:r>
              <w:rPr>
                <w:rFonts w:hint="eastAsia" w:asciiTheme="minorEastAsia" w:hAnsiTheme="minorEastAsia" w:eastAsiaTheme="minorEastAsia" w:cstheme="minorEastAsia"/>
                <w:sz w:val="21"/>
                <w:szCs w:val="21"/>
                <w:vertAlign w:val="baseline"/>
                <w:lang w:val="en-US" w:eastAsia="zh-CN"/>
              </w:rPr>
              <w:t>4次/天</w:t>
            </w:r>
          </w:p>
          <w:p>
            <w:pPr>
              <w:pStyle w:val="3"/>
              <w:numPr>
                <w:ilvl w:val="0"/>
                <w:numId w:val="0"/>
              </w:numPr>
              <w:spacing w:line="240" w:lineRule="auto"/>
              <w:jc w:val="center"/>
              <w:rPr>
                <w:rFonts w:hint="default"/>
                <w:vertAlign w:val="baseline"/>
                <w:lang w:val="en-US" w:eastAsia="zh-CN"/>
              </w:rPr>
            </w:pPr>
          </w:p>
        </w:tc>
        <w:tc>
          <w:tcPr>
            <w:tcW w:w="946" w:type="dxa"/>
            <w:vMerge w:val="continue"/>
          </w:tcPr>
          <w:p>
            <w:pPr>
              <w:pStyle w:val="3"/>
              <w:numPr>
                <w:ilvl w:val="0"/>
                <w:numId w:val="0"/>
              </w:numPr>
              <w:spacing w:line="240" w:lineRule="auto"/>
              <w:jc w:val="both"/>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1" w:type="dxa"/>
            <w:vAlign w:val="center"/>
          </w:tcPr>
          <w:p>
            <w:pPr>
              <w:pStyle w:val="3"/>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废水</w:t>
            </w:r>
          </w:p>
        </w:tc>
        <w:tc>
          <w:tcPr>
            <w:tcW w:w="1575" w:type="dxa"/>
            <w:vAlign w:val="center"/>
          </w:tcPr>
          <w:p>
            <w:pPr>
              <w:pStyle w:val="3"/>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污水处理排口</w:t>
            </w:r>
          </w:p>
        </w:tc>
        <w:tc>
          <w:tcPr>
            <w:tcW w:w="1690" w:type="dxa"/>
            <w:vAlign w:val="center"/>
          </w:tcPr>
          <w:p>
            <w:pPr>
              <w:spacing w:line="240" w:lineRule="auto"/>
              <w:ind w:firstLine="0" w:firstLineChars="0"/>
              <w:jc w:val="center"/>
              <w:rPr>
                <w:rFonts w:hint="eastAsia" w:ascii="Times New Roman" w:hAnsi="Times New Roman" w:eastAsia="仿宋" w:cs="Times New Roman"/>
                <w:kern w:val="2"/>
                <w:sz w:val="24"/>
                <w:szCs w:val="24"/>
                <w:vertAlign w:val="baseline"/>
                <w:lang w:val="en-US" w:eastAsia="zh-CN" w:bidi="ar-SA"/>
              </w:rPr>
            </w:pPr>
            <w:r>
              <w:rPr>
                <w:rFonts w:hint="eastAsia" w:ascii="宋体" w:hAnsi="宋体" w:eastAsia="宋体" w:cs="宋体"/>
                <w:b w:val="0"/>
                <w:bCs w:val="0"/>
                <w:sz w:val="21"/>
                <w:szCs w:val="21"/>
                <w:lang w:val="en-US" w:eastAsia="zh-CN"/>
              </w:rPr>
              <w:t>BOD</w:t>
            </w:r>
            <w:r>
              <w:rPr>
                <w:rFonts w:hint="eastAsia" w:ascii="宋体" w:hAnsi="宋体" w:eastAsia="宋体" w:cs="宋体"/>
                <w:b w:val="0"/>
                <w:bCs w:val="0"/>
                <w:sz w:val="21"/>
                <w:szCs w:val="21"/>
                <w:vertAlign w:val="subscript"/>
                <w:lang w:val="en-US" w:eastAsia="zh-CN"/>
              </w:rPr>
              <w:t>5</w:t>
            </w:r>
            <w:r>
              <w:rPr>
                <w:rFonts w:hint="eastAsia" w:ascii="宋体" w:hAnsi="宋体" w:eastAsia="宋体" w:cs="宋体"/>
                <w:b w:val="0"/>
                <w:bCs w:val="0"/>
                <w:sz w:val="21"/>
                <w:szCs w:val="21"/>
                <w:vertAlign w:val="baseline"/>
                <w:lang w:val="en-US" w:eastAsia="zh-CN"/>
              </w:rPr>
              <w:t>、</w:t>
            </w:r>
            <w:r>
              <w:rPr>
                <w:rFonts w:hint="eastAsia" w:ascii="宋体" w:hAnsi="宋体" w:eastAsia="宋体" w:cs="宋体"/>
                <w:b w:val="0"/>
                <w:bCs w:val="0"/>
                <w:sz w:val="21"/>
                <w:szCs w:val="21"/>
              </w:rPr>
              <w:t>CODcr</w:t>
            </w:r>
            <w:r>
              <w:rPr>
                <w:rFonts w:hint="eastAsia" w:ascii="宋体" w:hAnsi="宋体" w:eastAsia="宋体" w:cs="宋体"/>
                <w:b w:val="0"/>
                <w:bCs w:val="0"/>
                <w:sz w:val="21"/>
                <w:szCs w:val="21"/>
                <w:lang w:eastAsia="zh-CN"/>
              </w:rPr>
              <w:t>、</w:t>
            </w:r>
            <w:r>
              <w:rPr>
                <w:rFonts w:hint="eastAsia" w:ascii="宋体" w:hAnsi="宋体" w:eastAsia="宋体" w:cs="宋体"/>
                <w:b w:val="0"/>
                <w:bCs w:val="0"/>
                <w:sz w:val="21"/>
                <w:szCs w:val="21"/>
                <w:lang w:val="en-US" w:eastAsia="zh-CN"/>
              </w:rPr>
              <w:t>SS、NH</w:t>
            </w:r>
            <w:r>
              <w:rPr>
                <w:rFonts w:hint="eastAsia" w:ascii="宋体" w:hAnsi="宋体" w:eastAsia="宋体" w:cs="宋体"/>
                <w:b w:val="0"/>
                <w:bCs w:val="0"/>
                <w:sz w:val="21"/>
                <w:szCs w:val="21"/>
                <w:vertAlign w:val="subscript"/>
                <w:lang w:val="en-US" w:eastAsia="zh-CN"/>
              </w:rPr>
              <w:t>3</w:t>
            </w:r>
            <w:r>
              <w:rPr>
                <w:rFonts w:hint="eastAsia" w:ascii="宋体" w:hAnsi="宋体" w:eastAsia="宋体" w:cs="宋体"/>
                <w:b w:val="0"/>
                <w:bCs w:val="0"/>
                <w:sz w:val="21"/>
                <w:szCs w:val="21"/>
                <w:lang w:val="en-US" w:eastAsia="zh-CN"/>
              </w:rPr>
              <w:t>-N、总磷</w:t>
            </w:r>
          </w:p>
        </w:tc>
        <w:tc>
          <w:tcPr>
            <w:tcW w:w="1095" w:type="dxa"/>
            <w:vAlign w:val="center"/>
          </w:tcPr>
          <w:p>
            <w:pPr>
              <w:numPr>
                <w:ilvl w:val="0"/>
                <w:numId w:val="0"/>
              </w:numPr>
              <w:spacing w:line="240" w:lineRule="auto"/>
              <w:ind w:firstLine="240" w:firstLineChars="100"/>
              <w:jc w:val="both"/>
              <w:rPr>
                <w:rFonts w:hint="default"/>
                <w:vertAlign w:val="baseline"/>
                <w:lang w:val="en-US" w:eastAsia="zh-CN"/>
              </w:rPr>
            </w:pPr>
            <w:r>
              <w:rPr>
                <w:rFonts w:hint="eastAsia" w:ascii="仿宋" w:hAnsi="仿宋" w:eastAsia="仿宋" w:cs="仿宋"/>
                <w:vertAlign w:val="baseline"/>
                <w:lang w:val="en-US" w:eastAsia="zh-CN"/>
              </w:rPr>
              <w:t>√</w:t>
            </w:r>
          </w:p>
        </w:tc>
        <w:tc>
          <w:tcPr>
            <w:tcW w:w="1200" w:type="dxa"/>
            <w:vAlign w:val="center"/>
          </w:tcPr>
          <w:p>
            <w:pPr>
              <w:pStyle w:val="3"/>
              <w:numPr>
                <w:ilvl w:val="0"/>
                <w:numId w:val="0"/>
              </w:numPr>
              <w:spacing w:line="240" w:lineRule="auto"/>
              <w:jc w:val="center"/>
              <w:rPr>
                <w:rFonts w:hint="default"/>
                <w:vertAlign w:val="baseline"/>
                <w:lang w:val="en-US" w:eastAsia="zh-CN"/>
              </w:rPr>
            </w:pPr>
            <w:r>
              <w:rPr>
                <w:rFonts w:hint="eastAsia"/>
                <w:vertAlign w:val="baseline"/>
                <w:lang w:val="en-US" w:eastAsia="zh-CN"/>
              </w:rPr>
              <w:t>/</w:t>
            </w:r>
          </w:p>
        </w:tc>
        <w:tc>
          <w:tcPr>
            <w:tcW w:w="1055" w:type="dxa"/>
            <w:vMerge w:val="continue"/>
            <w:vAlign w:val="center"/>
          </w:tcPr>
          <w:p>
            <w:pPr>
              <w:pStyle w:val="3"/>
              <w:numPr>
                <w:ilvl w:val="0"/>
                <w:numId w:val="0"/>
              </w:numPr>
              <w:spacing w:line="240" w:lineRule="auto"/>
              <w:jc w:val="center"/>
              <w:rPr>
                <w:rFonts w:hint="default"/>
                <w:vertAlign w:val="baseline"/>
                <w:lang w:val="en-US" w:eastAsia="zh-CN"/>
              </w:rPr>
            </w:pPr>
          </w:p>
        </w:tc>
        <w:tc>
          <w:tcPr>
            <w:tcW w:w="946" w:type="dxa"/>
            <w:vMerge w:val="continue"/>
          </w:tcPr>
          <w:p>
            <w:pPr>
              <w:pStyle w:val="3"/>
              <w:numPr>
                <w:ilvl w:val="0"/>
                <w:numId w:val="0"/>
              </w:numPr>
              <w:spacing w:line="240" w:lineRule="auto"/>
              <w:jc w:val="both"/>
              <w:rPr>
                <w:rFonts w:hint="default"/>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961" w:type="dxa"/>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噪声</w:t>
            </w:r>
          </w:p>
        </w:tc>
        <w:tc>
          <w:tcPr>
            <w:tcW w:w="1575" w:type="dxa"/>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厂界四周</w:t>
            </w:r>
          </w:p>
        </w:tc>
        <w:tc>
          <w:tcPr>
            <w:tcW w:w="1690" w:type="dxa"/>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连续等效声级</w:t>
            </w:r>
          </w:p>
        </w:tc>
        <w:tc>
          <w:tcPr>
            <w:tcW w:w="1095" w:type="dxa"/>
            <w:vAlign w:val="center"/>
          </w:tcPr>
          <w:p>
            <w:pPr>
              <w:numPr>
                <w:ilvl w:val="0"/>
                <w:numId w:val="0"/>
              </w:numPr>
              <w:spacing w:line="240" w:lineRule="auto"/>
              <w:ind w:firstLine="24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仿宋" w:hAnsi="仿宋" w:eastAsia="仿宋" w:cs="仿宋"/>
                <w:vertAlign w:val="baseline"/>
                <w:lang w:val="en-US" w:eastAsia="zh-CN"/>
              </w:rPr>
              <w:t>√</w:t>
            </w:r>
          </w:p>
        </w:tc>
        <w:tc>
          <w:tcPr>
            <w:tcW w:w="1200" w:type="dxa"/>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仿宋" w:hAnsi="仿宋" w:eastAsia="仿宋" w:cs="仿宋"/>
                <w:vertAlign w:val="baseline"/>
                <w:lang w:val="en-US" w:eastAsia="zh-CN"/>
              </w:rPr>
              <w:t>√</w:t>
            </w:r>
          </w:p>
        </w:tc>
        <w:tc>
          <w:tcPr>
            <w:tcW w:w="1055" w:type="dxa"/>
            <w:vAlign w:val="center"/>
          </w:tcPr>
          <w:p>
            <w:pPr>
              <w:pStyle w:val="3"/>
              <w:numPr>
                <w:ilvl w:val="0"/>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2次（昼、夜）/天</w:t>
            </w:r>
          </w:p>
        </w:tc>
        <w:tc>
          <w:tcPr>
            <w:tcW w:w="946" w:type="dxa"/>
            <w:vMerge w:val="continue"/>
          </w:tcPr>
          <w:p>
            <w:pPr>
              <w:pStyle w:val="3"/>
              <w:numPr>
                <w:ilvl w:val="0"/>
                <w:numId w:val="0"/>
              </w:numPr>
              <w:spacing w:line="240" w:lineRule="auto"/>
              <w:jc w:val="both"/>
              <w:rPr>
                <w:rFonts w:hint="default"/>
                <w:vertAlign w:val="baseline"/>
                <w:lang w:val="en-US" w:eastAsia="zh-CN"/>
              </w:rPr>
            </w:pPr>
          </w:p>
        </w:tc>
      </w:tr>
    </w:tbl>
    <w:p>
      <w:pPr>
        <w:pStyle w:val="3"/>
        <w:numPr>
          <w:ilvl w:val="0"/>
          <w:numId w:val="0"/>
        </w:numPr>
        <w:jc w:val="both"/>
        <w:rPr>
          <w:rFonts w:hint="eastAsia" w:asciiTheme="minorEastAsia" w:hAnsiTheme="minorEastAsia" w:eastAsiaTheme="minorEastAsia" w:cstheme="minorEastAsia"/>
          <w:lang w:val="en-US" w:eastAsia="zh-CN"/>
        </w:rPr>
      </w:pPr>
    </w:p>
    <w:bookmarkEnd w:id="116"/>
    <w:p>
      <w:pPr>
        <w:pStyle w:val="3"/>
        <w:numPr>
          <w:ilvl w:val="0"/>
          <w:numId w:val="0"/>
        </w:numPr>
        <w:ind w:leftChars="0"/>
        <w:jc w:val="both"/>
        <w:outlineLvl w:val="1"/>
        <w:rPr>
          <w:rFonts w:hint="eastAsia" w:asciiTheme="minorEastAsia" w:hAnsiTheme="minorEastAsia" w:eastAsiaTheme="minorEastAsia" w:cstheme="minorEastAsia"/>
          <w:b/>
          <w:bCs/>
          <w:sz w:val="28"/>
          <w:szCs w:val="28"/>
          <w:lang w:val="en-US" w:eastAsia="zh-CN"/>
        </w:rPr>
      </w:pPr>
      <w:bookmarkStart w:id="120" w:name="_Toc8101"/>
      <w:r>
        <w:rPr>
          <w:rFonts w:hint="eastAsia" w:asciiTheme="minorEastAsia" w:hAnsiTheme="minorEastAsia" w:eastAsiaTheme="minorEastAsia" w:cstheme="minorEastAsia"/>
          <w:b/>
          <w:bCs/>
          <w:sz w:val="28"/>
          <w:szCs w:val="28"/>
          <w:lang w:val="en-US" w:eastAsia="zh-CN"/>
        </w:rPr>
        <w:t>6.2 、质量控制和质量保证</w:t>
      </w:r>
      <w:bookmarkEnd w:id="120"/>
    </w:p>
    <w:p>
      <w:pPr>
        <w:pStyle w:val="7"/>
        <w:spacing w:line="360" w:lineRule="auto"/>
        <w:rPr>
          <w:rFonts w:hint="eastAsia" w:ascii="宋体" w:hAnsi="宋体" w:cs="宋体"/>
        </w:rPr>
      </w:pPr>
      <w:r>
        <w:rPr>
          <w:rFonts w:hint="eastAsia" w:asciiTheme="minorEastAsia" w:hAnsiTheme="minorEastAsia" w:eastAsiaTheme="minorEastAsia" w:cstheme="minorEastAsia"/>
          <w:sz w:val="24"/>
          <w:szCs w:val="24"/>
          <w:lang w:val="en-US" w:eastAsia="zh-CN"/>
        </w:rPr>
        <w:t>本次监测过程中的质量保证措施按照国家环保总局颁发的《环境监测质量保证管理规定》要求进行，从样品采集方法、样品运输及保存、样品分析采取全过程质量保证措施；为确保废气监测结果的准确可靠，监测前对使用仪器按采样要求进行校准，参加监测 的采样人员合实验室分析人员均持证上岗，采取空白样品、平行双样等质量控制措施。见表6.2-1</w:t>
      </w:r>
    </w:p>
    <w:p>
      <w:pPr>
        <w:pStyle w:val="7"/>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表6.2-1    监测质量控制表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1671"/>
        <w:gridCol w:w="1412"/>
        <w:gridCol w:w="1560"/>
        <w:gridCol w:w="1560"/>
        <w:gridCol w:w="1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95"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序号</w:t>
            </w:r>
          </w:p>
        </w:tc>
        <w:tc>
          <w:tcPr>
            <w:tcW w:w="1671" w:type="dxa"/>
            <w:vAlign w:val="center"/>
          </w:tcPr>
          <w:p>
            <w:pPr>
              <w:pStyle w:val="7"/>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监测项目</w:t>
            </w:r>
          </w:p>
        </w:tc>
        <w:tc>
          <w:tcPr>
            <w:tcW w:w="1412"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样品数（个）</w:t>
            </w:r>
          </w:p>
        </w:tc>
        <w:tc>
          <w:tcPr>
            <w:tcW w:w="1560"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平行样（个）</w:t>
            </w:r>
          </w:p>
        </w:tc>
        <w:tc>
          <w:tcPr>
            <w:tcW w:w="1560"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空白样</w:t>
            </w:r>
          </w:p>
        </w:tc>
        <w:tc>
          <w:tcPr>
            <w:tcW w:w="1590" w:type="dxa"/>
            <w:vAlign w:val="center"/>
          </w:tcPr>
          <w:p>
            <w:pPr>
              <w:pStyle w:val="7"/>
              <w:ind w:left="0" w:leftChars="0" w:firstLine="0" w:firstLineChars="0"/>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合格率（%）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pPr>
              <w:pStyle w:val="7"/>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w:t>
            </w:r>
          </w:p>
        </w:tc>
        <w:tc>
          <w:tcPr>
            <w:tcW w:w="1671" w:type="dxa"/>
            <w:vAlign w:val="center"/>
          </w:tcPr>
          <w:p>
            <w:pPr>
              <w:pStyle w:val="7"/>
              <w:ind w:firstLine="630" w:firstLineChars="3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NH</w:t>
            </w:r>
            <w:r>
              <w:rPr>
                <w:rFonts w:hint="eastAsia" w:asciiTheme="minorEastAsia" w:hAnsiTheme="minorEastAsia" w:eastAsiaTheme="minorEastAsia" w:cstheme="minorEastAsia"/>
                <w:sz w:val="21"/>
                <w:szCs w:val="21"/>
                <w:vertAlign w:val="subscript"/>
                <w:lang w:val="en-US" w:eastAsia="zh-CN"/>
              </w:rPr>
              <w:t>3</w:t>
            </w:r>
          </w:p>
        </w:tc>
        <w:tc>
          <w:tcPr>
            <w:tcW w:w="1412" w:type="dxa"/>
            <w:vAlign w:val="center"/>
          </w:tcPr>
          <w:p>
            <w:pPr>
              <w:pStyle w:val="7"/>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32</w:t>
            </w:r>
          </w:p>
        </w:tc>
        <w:tc>
          <w:tcPr>
            <w:tcW w:w="1560"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3</w:t>
            </w:r>
          </w:p>
        </w:tc>
        <w:tc>
          <w:tcPr>
            <w:tcW w:w="1560"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w:t>
            </w:r>
          </w:p>
        </w:tc>
        <w:tc>
          <w:tcPr>
            <w:tcW w:w="1590" w:type="dxa"/>
            <w:vAlign w:val="center"/>
          </w:tcPr>
          <w:p>
            <w:pPr>
              <w:pStyle w:val="7"/>
              <w:ind w:firstLine="630" w:firstLineChars="3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pPr>
              <w:pStyle w:val="7"/>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w:t>
            </w:r>
          </w:p>
        </w:tc>
        <w:tc>
          <w:tcPr>
            <w:tcW w:w="1671" w:type="dxa"/>
            <w:vAlign w:val="center"/>
          </w:tcPr>
          <w:p>
            <w:pPr>
              <w:pStyle w:val="7"/>
              <w:ind w:firstLine="630" w:firstLineChars="3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H</w:t>
            </w:r>
            <w:r>
              <w:rPr>
                <w:rFonts w:hint="eastAsia" w:asciiTheme="minorEastAsia" w:hAnsiTheme="minorEastAsia" w:eastAsiaTheme="minorEastAsia" w:cstheme="minorEastAsia"/>
                <w:sz w:val="21"/>
                <w:szCs w:val="21"/>
                <w:vertAlign w:val="subscript"/>
                <w:lang w:val="en-US" w:eastAsia="zh-CN"/>
              </w:rPr>
              <w:t>2</w:t>
            </w:r>
            <w:r>
              <w:rPr>
                <w:rFonts w:hint="eastAsia" w:asciiTheme="minorEastAsia" w:hAnsiTheme="minorEastAsia" w:eastAsiaTheme="minorEastAsia" w:cstheme="minorEastAsia"/>
                <w:sz w:val="21"/>
                <w:szCs w:val="21"/>
                <w:vertAlign w:val="baseline"/>
                <w:lang w:val="en-US" w:eastAsia="zh-CN"/>
              </w:rPr>
              <w:t>S</w:t>
            </w:r>
          </w:p>
        </w:tc>
        <w:tc>
          <w:tcPr>
            <w:tcW w:w="1412" w:type="dxa"/>
            <w:vAlign w:val="center"/>
          </w:tcPr>
          <w:p>
            <w:pPr>
              <w:pStyle w:val="7"/>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32</w:t>
            </w:r>
          </w:p>
        </w:tc>
        <w:tc>
          <w:tcPr>
            <w:tcW w:w="1560"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3</w:t>
            </w:r>
          </w:p>
        </w:tc>
        <w:tc>
          <w:tcPr>
            <w:tcW w:w="1560"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w:t>
            </w:r>
          </w:p>
        </w:tc>
        <w:tc>
          <w:tcPr>
            <w:tcW w:w="1590" w:type="dxa"/>
            <w:vAlign w:val="center"/>
          </w:tcPr>
          <w:p>
            <w:pPr>
              <w:pStyle w:val="7"/>
              <w:ind w:firstLine="630" w:firstLineChars="3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pPr>
              <w:pStyle w:val="7"/>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3</w:t>
            </w:r>
          </w:p>
        </w:tc>
        <w:tc>
          <w:tcPr>
            <w:tcW w:w="1671" w:type="dxa"/>
            <w:vAlign w:val="center"/>
          </w:tcPr>
          <w:p>
            <w:pPr>
              <w:pStyle w:val="7"/>
              <w:ind w:firstLine="630" w:firstLineChars="3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颗粒物</w:t>
            </w:r>
          </w:p>
        </w:tc>
        <w:tc>
          <w:tcPr>
            <w:tcW w:w="1412" w:type="dxa"/>
            <w:vAlign w:val="center"/>
          </w:tcPr>
          <w:p>
            <w:pPr>
              <w:pStyle w:val="7"/>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48</w:t>
            </w:r>
          </w:p>
        </w:tc>
        <w:tc>
          <w:tcPr>
            <w:tcW w:w="1560"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4</w:t>
            </w:r>
          </w:p>
        </w:tc>
        <w:tc>
          <w:tcPr>
            <w:tcW w:w="1560"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w:t>
            </w:r>
          </w:p>
        </w:tc>
        <w:tc>
          <w:tcPr>
            <w:tcW w:w="1590" w:type="dxa"/>
            <w:vAlign w:val="center"/>
          </w:tcPr>
          <w:p>
            <w:pPr>
              <w:pStyle w:val="7"/>
              <w:ind w:firstLine="630" w:firstLineChars="3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dxa"/>
            <w:vAlign w:val="center"/>
          </w:tcPr>
          <w:p>
            <w:pPr>
              <w:pStyle w:val="7"/>
              <w:ind w:left="0" w:leftChars="0" w:firstLine="210" w:firstLineChars="1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4</w:t>
            </w:r>
          </w:p>
        </w:tc>
        <w:tc>
          <w:tcPr>
            <w:tcW w:w="1671" w:type="dxa"/>
            <w:vAlign w:val="center"/>
          </w:tcPr>
          <w:p>
            <w:pPr>
              <w:pStyle w:val="7"/>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臭气浓度</w:t>
            </w:r>
          </w:p>
        </w:tc>
        <w:tc>
          <w:tcPr>
            <w:tcW w:w="1412" w:type="dxa"/>
            <w:vAlign w:val="center"/>
          </w:tcPr>
          <w:p>
            <w:pPr>
              <w:pStyle w:val="7"/>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32</w:t>
            </w:r>
          </w:p>
        </w:tc>
        <w:tc>
          <w:tcPr>
            <w:tcW w:w="1560"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w:t>
            </w:r>
          </w:p>
        </w:tc>
        <w:tc>
          <w:tcPr>
            <w:tcW w:w="1560" w:type="dxa"/>
            <w:vAlign w:val="center"/>
          </w:tcPr>
          <w:p>
            <w:pPr>
              <w:pStyle w:val="7"/>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w:t>
            </w:r>
          </w:p>
        </w:tc>
        <w:tc>
          <w:tcPr>
            <w:tcW w:w="1590" w:type="dxa"/>
            <w:vAlign w:val="center"/>
          </w:tcPr>
          <w:p>
            <w:pPr>
              <w:pStyle w:val="7"/>
              <w:ind w:firstLine="630" w:firstLineChars="300"/>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100</w:t>
            </w:r>
          </w:p>
        </w:tc>
      </w:tr>
    </w:tbl>
    <w:p>
      <w:pPr>
        <w:pStyle w:val="3"/>
        <w:ind w:left="0" w:leftChars="0" w:firstLine="0" w:firstLineChars="0"/>
        <w:jc w:val="both"/>
        <w:rPr>
          <w:rFonts w:hint="eastAsia" w:ascii="宋体" w:hAnsi="宋体" w:cs="宋体"/>
          <w:sz w:val="21"/>
          <w:szCs w:val="21"/>
        </w:rPr>
      </w:pPr>
    </w:p>
    <w:p>
      <w:pPr>
        <w:pStyle w:val="4"/>
        <w:rPr>
          <w:rFonts w:hint="eastAsia" w:asciiTheme="minorEastAsia" w:hAnsiTheme="minorEastAsia" w:eastAsiaTheme="minorEastAsia" w:cstheme="minorEastAsia"/>
          <w:b/>
          <w:bCs w:val="0"/>
          <w:sz w:val="28"/>
          <w:szCs w:val="28"/>
          <w:lang w:val="en-US" w:eastAsia="zh-CN"/>
        </w:rPr>
      </w:pPr>
      <w:bookmarkStart w:id="121" w:name="_Toc27979"/>
      <w:bookmarkStart w:id="122" w:name="_Toc30983"/>
      <w:r>
        <w:rPr>
          <w:rFonts w:hint="eastAsia" w:asciiTheme="minorEastAsia" w:hAnsiTheme="minorEastAsia" w:eastAsiaTheme="minorEastAsia" w:cstheme="minorEastAsia"/>
          <w:b/>
          <w:bCs w:val="0"/>
          <w:sz w:val="28"/>
          <w:szCs w:val="28"/>
          <w:lang w:val="en-US" w:eastAsia="zh-CN"/>
        </w:rPr>
        <w:t>6.3、监测分析方法</w:t>
      </w:r>
      <w:bookmarkEnd w:id="121"/>
      <w:bookmarkEnd w:id="122"/>
    </w:p>
    <w:p>
      <w:pPr>
        <w:ind w:firstLine="0" w:firstLineChars="0"/>
        <w:jc w:val="center"/>
        <w:rPr>
          <w:rFonts w:ascii="宋体" w:hAnsi="宋体" w:eastAsia="宋体" w:cs="宋体"/>
          <w:b w:val="0"/>
          <w:bCs w:val="0"/>
        </w:rPr>
      </w:pPr>
      <w:r>
        <w:rPr>
          <w:rFonts w:hint="eastAsia" w:ascii="宋体" w:hAnsi="宋体" w:eastAsia="宋体" w:cs="宋体"/>
          <w:b w:val="0"/>
          <w:bCs w:val="0"/>
        </w:rPr>
        <w:t>表</w:t>
      </w:r>
      <w:r>
        <w:rPr>
          <w:rFonts w:hint="eastAsia" w:ascii="宋体" w:hAnsi="宋体" w:eastAsia="宋体" w:cs="宋体"/>
          <w:b w:val="0"/>
          <w:bCs w:val="0"/>
          <w:lang w:val="en-US" w:eastAsia="zh-CN"/>
        </w:rPr>
        <w:t>6.3-1</w:t>
      </w:r>
      <w:r>
        <w:rPr>
          <w:rFonts w:hint="eastAsia" w:ascii="宋体" w:hAnsi="宋体" w:eastAsia="宋体" w:cs="宋体"/>
          <w:b w:val="0"/>
          <w:bCs w:val="0"/>
        </w:rPr>
        <w:t xml:space="preserve">  监测分析方法一览表</w:t>
      </w:r>
    </w:p>
    <w:tbl>
      <w:tblPr>
        <w:tblStyle w:val="23"/>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6"/>
        <w:gridCol w:w="1427"/>
        <w:gridCol w:w="4287"/>
        <w:gridCol w:w="2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7" w:hRule="atLeast"/>
          <w:jc w:val="center"/>
        </w:trPr>
        <w:tc>
          <w:tcPr>
            <w:tcW w:w="566" w:type="dxa"/>
            <w:vAlign w:val="center"/>
          </w:tcPr>
          <w:p>
            <w:pPr>
              <w:adjustRightInd w:val="0"/>
              <w:snapToGrid w:val="0"/>
              <w:spacing w:line="240" w:lineRule="auto"/>
              <w:ind w:firstLine="0" w:firstLineChars="0"/>
              <w:jc w:val="center"/>
              <w:rPr>
                <w:rFonts w:ascii="宋体" w:hAnsi="宋体" w:eastAsia="宋体" w:cs="宋体"/>
                <w:b w:val="0"/>
                <w:bCs/>
                <w:sz w:val="21"/>
                <w:szCs w:val="21"/>
              </w:rPr>
            </w:pPr>
            <w:r>
              <w:rPr>
                <w:rFonts w:hint="eastAsia" w:ascii="宋体" w:hAnsi="宋体" w:eastAsia="宋体" w:cs="宋体"/>
                <w:b w:val="0"/>
                <w:bCs/>
                <w:sz w:val="21"/>
                <w:szCs w:val="21"/>
              </w:rPr>
              <w:t>类别</w:t>
            </w:r>
          </w:p>
        </w:tc>
        <w:tc>
          <w:tcPr>
            <w:tcW w:w="1427" w:type="dxa"/>
            <w:vAlign w:val="center"/>
          </w:tcPr>
          <w:p>
            <w:pPr>
              <w:adjustRightInd w:val="0"/>
              <w:snapToGrid w:val="0"/>
              <w:spacing w:line="240" w:lineRule="auto"/>
              <w:ind w:firstLine="0" w:firstLineChars="0"/>
              <w:jc w:val="center"/>
              <w:rPr>
                <w:rFonts w:ascii="宋体" w:hAnsi="宋体" w:eastAsia="宋体" w:cs="宋体"/>
                <w:b w:val="0"/>
                <w:bCs/>
                <w:sz w:val="21"/>
                <w:szCs w:val="21"/>
              </w:rPr>
            </w:pPr>
            <w:r>
              <w:rPr>
                <w:rFonts w:hint="eastAsia" w:ascii="宋体" w:hAnsi="宋体" w:eastAsia="宋体" w:cs="宋体"/>
                <w:b w:val="0"/>
                <w:bCs/>
                <w:sz w:val="21"/>
                <w:szCs w:val="21"/>
              </w:rPr>
              <w:t>监测项目</w:t>
            </w:r>
          </w:p>
        </w:tc>
        <w:tc>
          <w:tcPr>
            <w:tcW w:w="4287" w:type="dxa"/>
            <w:vAlign w:val="center"/>
          </w:tcPr>
          <w:p>
            <w:pPr>
              <w:adjustRightInd w:val="0"/>
              <w:snapToGrid w:val="0"/>
              <w:spacing w:line="240" w:lineRule="auto"/>
              <w:ind w:firstLine="0" w:firstLineChars="0"/>
              <w:jc w:val="center"/>
              <w:rPr>
                <w:rFonts w:ascii="宋体" w:hAnsi="宋体" w:eastAsia="宋体" w:cs="宋体"/>
                <w:b w:val="0"/>
                <w:bCs/>
                <w:sz w:val="21"/>
                <w:szCs w:val="21"/>
              </w:rPr>
            </w:pPr>
            <w:r>
              <w:rPr>
                <w:rFonts w:hint="eastAsia" w:ascii="宋体" w:hAnsi="宋体" w:eastAsia="宋体" w:cs="宋体"/>
                <w:b w:val="0"/>
                <w:bCs/>
                <w:sz w:val="21"/>
                <w:szCs w:val="21"/>
              </w:rPr>
              <w:t>分析方法</w:t>
            </w:r>
          </w:p>
        </w:tc>
        <w:tc>
          <w:tcPr>
            <w:tcW w:w="2079" w:type="dxa"/>
            <w:vAlign w:val="center"/>
          </w:tcPr>
          <w:p>
            <w:pPr>
              <w:adjustRightInd w:val="0"/>
              <w:snapToGrid w:val="0"/>
              <w:spacing w:line="240" w:lineRule="auto"/>
              <w:ind w:firstLine="0" w:firstLineChars="0"/>
              <w:jc w:val="center"/>
              <w:rPr>
                <w:rFonts w:ascii="宋体" w:hAnsi="宋体" w:eastAsia="宋体" w:cs="宋体"/>
                <w:b w:val="0"/>
                <w:bCs/>
                <w:sz w:val="21"/>
                <w:szCs w:val="21"/>
              </w:rPr>
            </w:pPr>
            <w:r>
              <w:rPr>
                <w:rFonts w:hint="eastAsia" w:ascii="宋体" w:hAnsi="宋体" w:eastAsia="宋体" w:cs="宋体"/>
                <w:b w:val="0"/>
                <w:bCs/>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7" w:hRule="atLeast"/>
          <w:jc w:val="center"/>
        </w:trPr>
        <w:tc>
          <w:tcPr>
            <w:tcW w:w="566" w:type="dxa"/>
            <w:vAlign w:val="center"/>
          </w:tcPr>
          <w:p>
            <w:pPr>
              <w:adjustRightInd w:val="0"/>
              <w:snapToGrid w:val="0"/>
              <w:spacing w:line="240" w:lineRule="auto"/>
              <w:ind w:firstLine="0" w:firstLineChars="0"/>
              <w:jc w:val="center"/>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有组织</w:t>
            </w:r>
          </w:p>
        </w:tc>
        <w:tc>
          <w:tcPr>
            <w:tcW w:w="1427"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b w:val="0"/>
                <w:bCs/>
                <w:sz w:val="21"/>
                <w:szCs w:val="21"/>
              </w:rPr>
            </w:pPr>
            <w:r>
              <w:rPr>
                <w:rFonts w:hint="eastAsia" w:asciiTheme="minorEastAsia" w:hAnsiTheme="minorEastAsia" w:eastAsiaTheme="minorEastAsia" w:cstheme="minorEastAsia"/>
                <w:b w:val="0"/>
                <w:bCs/>
                <w:sz w:val="21"/>
                <w:szCs w:val="21"/>
              </w:rPr>
              <w:t>颗粒物</w:t>
            </w:r>
          </w:p>
        </w:tc>
        <w:tc>
          <w:tcPr>
            <w:tcW w:w="4287"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b w:val="0"/>
                <w:bCs/>
                <w:sz w:val="21"/>
                <w:szCs w:val="21"/>
              </w:rPr>
            </w:pPr>
            <w:r>
              <w:rPr>
                <w:rFonts w:hint="eastAsia" w:asciiTheme="minorEastAsia" w:hAnsiTheme="minorEastAsia" w:eastAsiaTheme="minorEastAsia" w:cstheme="minorEastAsia"/>
                <w:sz w:val="21"/>
                <w:szCs w:val="21"/>
                <w:lang w:val="en-US" w:eastAsia="zh-CN"/>
              </w:rPr>
              <w:t>固定污染源排气中颗粒物测定与气态污染物采样方法</w:t>
            </w:r>
          </w:p>
        </w:tc>
        <w:tc>
          <w:tcPr>
            <w:tcW w:w="2079"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b w:val="0"/>
                <w:bCs/>
                <w:sz w:val="21"/>
                <w:szCs w:val="21"/>
              </w:rPr>
            </w:pPr>
            <w:r>
              <w:rPr>
                <w:rFonts w:hint="eastAsia" w:asciiTheme="minorEastAsia" w:hAnsiTheme="minorEastAsia" w:eastAsiaTheme="minorEastAsia" w:cstheme="minorEastAsia"/>
                <w:sz w:val="21"/>
                <w:szCs w:val="21"/>
                <w:lang w:val="en-US" w:eastAsia="zh-CN"/>
              </w:rPr>
              <w:t>（GB/T16157-1996及修改单）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2" w:hRule="atLeast"/>
          <w:jc w:val="center"/>
        </w:trPr>
        <w:tc>
          <w:tcPr>
            <w:tcW w:w="566" w:type="dxa"/>
            <w:vMerge w:val="restart"/>
            <w:vAlign w:val="center"/>
          </w:tcPr>
          <w:p>
            <w:pPr>
              <w:adjustRightInd w:val="0"/>
              <w:snapToGrid w:val="0"/>
              <w:spacing w:line="240" w:lineRule="auto"/>
              <w:ind w:firstLine="0" w:firstLineChars="0"/>
              <w:jc w:val="center"/>
              <w:rPr>
                <w:rFonts w:ascii="宋体" w:hAnsi="宋体" w:eastAsia="宋体" w:cs="宋体"/>
                <w:b w:val="0"/>
                <w:bCs/>
                <w:sz w:val="21"/>
                <w:szCs w:val="21"/>
              </w:rPr>
            </w:pPr>
            <w:r>
              <w:rPr>
                <w:rFonts w:hint="eastAsia" w:ascii="宋体" w:hAnsi="宋体" w:eastAsia="宋体" w:cs="宋体"/>
                <w:b w:val="0"/>
                <w:bCs/>
                <w:sz w:val="21"/>
                <w:szCs w:val="21"/>
              </w:rPr>
              <w:t>无组织废气</w:t>
            </w:r>
          </w:p>
        </w:tc>
        <w:tc>
          <w:tcPr>
            <w:tcW w:w="1427" w:type="dxa"/>
            <w:vAlign w:val="center"/>
          </w:tcPr>
          <w:p>
            <w:pPr>
              <w:widowControl/>
              <w:adjustRightInd w:val="0"/>
              <w:snapToGri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颗粒物</w:t>
            </w:r>
          </w:p>
        </w:tc>
        <w:tc>
          <w:tcPr>
            <w:tcW w:w="4287" w:type="dxa"/>
            <w:vAlign w:val="center"/>
          </w:tcPr>
          <w:p>
            <w:pPr>
              <w:widowControl/>
              <w:adjustRightInd w:val="0"/>
              <w:snapToGri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《环境空气 总悬浮颗粒物的测定 重量法》</w:t>
            </w:r>
          </w:p>
        </w:tc>
        <w:tc>
          <w:tcPr>
            <w:tcW w:w="2079" w:type="dxa"/>
            <w:vAlign w:val="center"/>
          </w:tcPr>
          <w:p>
            <w:pPr>
              <w:widowControl/>
              <w:adjustRightInd w:val="0"/>
              <w:snapToGri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（HJ1263-2022）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9" w:hRule="atLeast"/>
          <w:jc w:val="center"/>
        </w:trPr>
        <w:tc>
          <w:tcPr>
            <w:tcW w:w="566" w:type="dxa"/>
            <w:vMerge w:val="continue"/>
            <w:vAlign w:val="center"/>
          </w:tcPr>
          <w:p>
            <w:pPr>
              <w:adjustRightInd w:val="0"/>
              <w:snapToGrid w:val="0"/>
              <w:spacing w:line="240" w:lineRule="auto"/>
              <w:ind w:firstLine="0" w:firstLineChars="0"/>
              <w:jc w:val="center"/>
              <w:rPr>
                <w:rFonts w:ascii="宋体" w:hAnsi="宋体" w:eastAsia="宋体" w:cs="宋体"/>
                <w:b w:val="0"/>
                <w:bCs/>
                <w:sz w:val="21"/>
                <w:szCs w:val="21"/>
              </w:rPr>
            </w:pPr>
          </w:p>
        </w:tc>
        <w:tc>
          <w:tcPr>
            <w:tcW w:w="1427" w:type="dxa"/>
            <w:vAlign w:val="center"/>
          </w:tcPr>
          <w:p>
            <w:pPr>
              <w:widowControl/>
              <w:adjustRightInd w:val="0"/>
              <w:snapToGri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氨</w:t>
            </w:r>
          </w:p>
        </w:tc>
        <w:tc>
          <w:tcPr>
            <w:tcW w:w="4287" w:type="dxa"/>
            <w:vAlign w:val="center"/>
          </w:tcPr>
          <w:p>
            <w:pPr>
              <w:widowControl/>
              <w:adjustRightInd w:val="0"/>
              <w:snapToGri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亚甲基蓝分光光度法</w:t>
            </w:r>
          </w:p>
        </w:tc>
        <w:tc>
          <w:tcPr>
            <w:tcW w:w="2079" w:type="dxa"/>
            <w:vAlign w:val="center"/>
          </w:tcPr>
          <w:p>
            <w:pPr>
              <w:widowControl/>
              <w:adjustRightInd w:val="0"/>
              <w:snapToGri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《空气和废气监测分析方法》（第四版增补版）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7" w:hRule="atLeast"/>
          <w:jc w:val="center"/>
        </w:trPr>
        <w:tc>
          <w:tcPr>
            <w:tcW w:w="566" w:type="dxa"/>
            <w:vMerge w:val="continue"/>
            <w:vAlign w:val="center"/>
          </w:tcPr>
          <w:p>
            <w:pPr>
              <w:adjustRightInd w:val="0"/>
              <w:snapToGrid w:val="0"/>
              <w:spacing w:line="240" w:lineRule="auto"/>
              <w:ind w:firstLine="0" w:firstLineChars="0"/>
              <w:jc w:val="center"/>
              <w:rPr>
                <w:rFonts w:ascii="宋体" w:hAnsi="宋体" w:eastAsia="宋体" w:cs="宋体"/>
                <w:b w:val="0"/>
                <w:bCs/>
                <w:sz w:val="21"/>
                <w:szCs w:val="21"/>
              </w:rPr>
            </w:pPr>
          </w:p>
        </w:tc>
        <w:tc>
          <w:tcPr>
            <w:tcW w:w="1427" w:type="dxa"/>
            <w:vAlign w:val="center"/>
          </w:tcPr>
          <w:p>
            <w:pPr>
              <w:widowControl/>
              <w:adjustRightInd w:val="0"/>
              <w:snapToGri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硫化氢</w:t>
            </w:r>
          </w:p>
        </w:tc>
        <w:tc>
          <w:tcPr>
            <w:tcW w:w="4287"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纳氏试剂分光光度法</w:t>
            </w:r>
          </w:p>
        </w:tc>
        <w:tc>
          <w:tcPr>
            <w:tcW w:w="2079" w:type="dxa"/>
            <w:vAlign w:val="center"/>
          </w:tcPr>
          <w:p>
            <w:pPr>
              <w:tabs>
                <w:tab w:val="left" w:pos="3298"/>
              </w:tabs>
              <w:bidi w:val="0"/>
              <w:ind w:left="0" w:leftChars="0"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（HJ533-2009）</w:t>
            </w:r>
          </w:p>
          <w:p>
            <w:pPr>
              <w:adjustRightInd w:val="0"/>
              <w:snapToGrid w:val="0"/>
              <w:spacing w:line="240" w:lineRule="auto"/>
              <w:ind w:firstLine="0" w:firstLineChars="0"/>
              <w:jc w:val="center"/>
              <w:rPr>
                <w:rFonts w:hint="eastAsia"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1" w:hRule="atLeast"/>
          <w:jc w:val="center"/>
        </w:trPr>
        <w:tc>
          <w:tcPr>
            <w:tcW w:w="566" w:type="dxa"/>
            <w:vMerge w:val="continue"/>
            <w:vAlign w:val="center"/>
          </w:tcPr>
          <w:p>
            <w:pPr>
              <w:adjustRightInd w:val="0"/>
              <w:snapToGrid w:val="0"/>
              <w:spacing w:line="240" w:lineRule="auto"/>
              <w:ind w:firstLine="0" w:firstLineChars="0"/>
              <w:jc w:val="center"/>
              <w:rPr>
                <w:rFonts w:ascii="宋体" w:hAnsi="宋体" w:eastAsia="宋体" w:cs="宋体"/>
                <w:b w:val="0"/>
                <w:bCs/>
                <w:sz w:val="21"/>
                <w:szCs w:val="21"/>
              </w:rPr>
            </w:pPr>
          </w:p>
        </w:tc>
        <w:tc>
          <w:tcPr>
            <w:tcW w:w="1427" w:type="dxa"/>
            <w:vAlign w:val="center"/>
          </w:tcPr>
          <w:p>
            <w:pPr>
              <w:widowControl/>
              <w:adjustRightInd w:val="0"/>
              <w:snapToGrid w:val="0"/>
              <w:spacing w:line="240" w:lineRule="auto"/>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臭气浓度</w:t>
            </w:r>
          </w:p>
        </w:tc>
        <w:tc>
          <w:tcPr>
            <w:tcW w:w="4287" w:type="dxa"/>
            <w:vAlign w:val="center"/>
          </w:tcPr>
          <w:p>
            <w:pPr>
              <w:widowControl/>
              <w:adjustRightInd w:val="0"/>
              <w:snapToGri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臭气的测定三点比较式臭袋法</w:t>
            </w:r>
          </w:p>
        </w:tc>
        <w:tc>
          <w:tcPr>
            <w:tcW w:w="2079" w:type="dxa"/>
            <w:vAlign w:val="center"/>
          </w:tcPr>
          <w:p>
            <w:pPr>
              <w:tabs>
                <w:tab w:val="left" w:pos="3298"/>
              </w:tabs>
              <w:bidi w:val="0"/>
              <w:ind w:left="0" w:leftChars="0"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（HJ1262-2022）</w:t>
            </w:r>
          </w:p>
          <w:p>
            <w:pPr>
              <w:widowControl/>
              <w:adjustRightInd w:val="0"/>
              <w:snapToGrid w:val="0"/>
              <w:spacing w:line="240" w:lineRule="auto"/>
              <w:ind w:firstLine="0" w:firstLineChars="0"/>
              <w:jc w:val="center"/>
              <w:rPr>
                <w:rFonts w:hint="eastAsia"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0" w:hRule="atLeast"/>
          <w:jc w:val="center"/>
        </w:trPr>
        <w:tc>
          <w:tcPr>
            <w:tcW w:w="566" w:type="dxa"/>
            <w:vAlign w:val="center"/>
          </w:tcPr>
          <w:p>
            <w:pPr>
              <w:adjustRightInd w:val="0"/>
              <w:snapToGrid w:val="0"/>
              <w:spacing w:line="240" w:lineRule="auto"/>
              <w:ind w:firstLine="0" w:firstLineChars="0"/>
              <w:jc w:val="center"/>
              <w:rPr>
                <w:rFonts w:ascii="宋体" w:hAnsi="宋体" w:eastAsia="宋体" w:cs="宋体"/>
                <w:b w:val="0"/>
                <w:bCs/>
                <w:sz w:val="21"/>
                <w:szCs w:val="21"/>
              </w:rPr>
            </w:pPr>
            <w:r>
              <w:rPr>
                <w:rFonts w:hint="eastAsia" w:ascii="宋体" w:hAnsi="宋体" w:eastAsia="宋体" w:cs="宋体"/>
                <w:b w:val="0"/>
                <w:bCs/>
                <w:sz w:val="21"/>
                <w:szCs w:val="21"/>
              </w:rPr>
              <w:t>噪声</w:t>
            </w:r>
          </w:p>
        </w:tc>
        <w:tc>
          <w:tcPr>
            <w:tcW w:w="1427"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厂界噪声</w:t>
            </w:r>
          </w:p>
        </w:tc>
        <w:tc>
          <w:tcPr>
            <w:tcW w:w="4287"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《工业企业厂界环境噪声排放标准》</w:t>
            </w:r>
          </w:p>
        </w:tc>
        <w:tc>
          <w:tcPr>
            <w:tcW w:w="2079"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GB 12348-2008</w:t>
            </w:r>
          </w:p>
        </w:tc>
      </w:tr>
    </w:tbl>
    <w:p>
      <w:pPr>
        <w:pStyle w:val="4"/>
        <w:outlineLvl w:val="9"/>
        <w:rPr>
          <w:rFonts w:hint="eastAsia" w:ascii="宋体" w:hAnsi="宋体" w:eastAsia="宋体" w:cs="宋体"/>
          <w:sz w:val="24"/>
          <w:szCs w:val="24"/>
          <w:lang w:val="en-US" w:eastAsia="zh-CN"/>
        </w:rPr>
      </w:pPr>
      <w:bookmarkStart w:id="123" w:name="_Toc10959"/>
    </w:p>
    <w:p>
      <w:pPr>
        <w:pStyle w:val="4"/>
        <w:rPr>
          <w:rFonts w:hint="default" w:ascii="宋体" w:hAnsi="宋体" w:eastAsia="宋体" w:cs="宋体"/>
          <w:b w:val="0"/>
          <w:bCs/>
          <w:sz w:val="21"/>
          <w:szCs w:val="21"/>
          <w:lang w:val="en-US" w:eastAsia="zh-CN"/>
        </w:rPr>
      </w:pPr>
      <w:bookmarkStart w:id="124" w:name="_Toc9040"/>
      <w:bookmarkStart w:id="125" w:name="_Toc2329"/>
      <w:r>
        <w:rPr>
          <w:rFonts w:hint="eastAsia" w:ascii="宋体" w:hAnsi="宋体" w:eastAsia="宋体" w:cs="宋体"/>
          <w:sz w:val="28"/>
          <w:szCs w:val="28"/>
          <w:lang w:val="en-US" w:eastAsia="zh-CN"/>
        </w:rPr>
        <w:t>6.4 、</w:t>
      </w:r>
      <w:r>
        <w:rPr>
          <w:rFonts w:hint="eastAsia" w:ascii="宋体" w:hAnsi="宋体" w:eastAsia="宋体" w:cs="宋体"/>
          <w:sz w:val="28"/>
          <w:szCs w:val="28"/>
        </w:rPr>
        <w:t>监测分析仪器</w:t>
      </w:r>
      <w:bookmarkEnd w:id="123"/>
      <w:bookmarkEnd w:id="124"/>
      <w:bookmarkEnd w:id="125"/>
      <w:r>
        <w:rPr>
          <w:rFonts w:hint="eastAsia" w:ascii="宋体" w:hAnsi="宋体" w:eastAsia="宋体" w:cs="宋体"/>
          <w:sz w:val="28"/>
          <w:szCs w:val="28"/>
          <w:lang w:val="en-US" w:eastAsia="zh-CN"/>
        </w:rPr>
        <w:t xml:space="preserve">    </w:t>
      </w:r>
    </w:p>
    <w:p>
      <w:pPr>
        <w:pStyle w:val="3"/>
        <w:spacing w:line="360" w:lineRule="auto"/>
        <w:ind w:firstLine="0" w:firstLineChars="0"/>
        <w:rPr>
          <w:rFonts w:ascii="宋体" w:hAnsi="宋体" w:eastAsia="宋体" w:cs="宋体"/>
          <w:b w:val="0"/>
          <w:bCs w:val="0"/>
        </w:rPr>
      </w:pPr>
      <w:r>
        <w:rPr>
          <w:rFonts w:hint="eastAsia" w:ascii="宋体" w:hAnsi="宋体" w:eastAsia="宋体" w:cs="宋体"/>
          <w:b w:val="0"/>
          <w:bCs w:val="0"/>
        </w:rPr>
        <w:t>表</w:t>
      </w:r>
      <w:r>
        <w:rPr>
          <w:rFonts w:hint="eastAsia" w:ascii="宋体" w:hAnsi="宋体" w:eastAsia="宋体" w:cs="宋体"/>
          <w:b w:val="0"/>
          <w:bCs w:val="0"/>
          <w:lang w:val="en-US" w:eastAsia="zh-CN"/>
        </w:rPr>
        <w:t>6.4-1</w:t>
      </w:r>
      <w:r>
        <w:rPr>
          <w:rFonts w:hint="eastAsia" w:ascii="宋体" w:hAnsi="宋体" w:eastAsia="宋体" w:cs="宋体"/>
          <w:b w:val="0"/>
          <w:bCs w:val="0"/>
        </w:rPr>
        <w:t xml:space="preserve"> 主要监测分析仪器一览表</w:t>
      </w:r>
    </w:p>
    <w:tbl>
      <w:tblPr>
        <w:tblStyle w:val="23"/>
        <w:tblW w:w="83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56"/>
        <w:gridCol w:w="3446"/>
        <w:gridCol w:w="1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74" w:hRule="atLeast"/>
          <w:jc w:val="center"/>
        </w:trPr>
        <w:tc>
          <w:tcPr>
            <w:tcW w:w="3256"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仪器名称</w:t>
            </w:r>
          </w:p>
        </w:tc>
        <w:tc>
          <w:tcPr>
            <w:tcW w:w="3446"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b w:val="0"/>
                <w:bCs w:val="0"/>
                <w:sz w:val="21"/>
                <w:szCs w:val="21"/>
              </w:rPr>
            </w:pPr>
          </w:p>
          <w:p>
            <w:pPr>
              <w:adjustRightInd w:val="0"/>
              <w:snapToGrid w:val="0"/>
              <w:spacing w:line="240" w:lineRule="auto"/>
              <w:ind w:firstLine="0" w:firstLineChars="0"/>
              <w:jc w:val="center"/>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仪器编号</w:t>
            </w:r>
          </w:p>
        </w:tc>
        <w:tc>
          <w:tcPr>
            <w:tcW w:w="1662"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b w:val="0"/>
                <w:bCs w:val="0"/>
                <w:sz w:val="21"/>
                <w:szCs w:val="21"/>
              </w:rPr>
            </w:pPr>
            <w:r>
              <w:rPr>
                <w:rFonts w:hint="eastAsia" w:asciiTheme="minorEastAsia" w:hAnsiTheme="minorEastAsia" w:eastAsiaTheme="minorEastAsia" w:cstheme="minorEastAsia"/>
                <w:b w:val="0"/>
                <w:bCs w:val="0"/>
                <w:sz w:val="21"/>
                <w:szCs w:val="21"/>
              </w:rPr>
              <w:t>是</w:t>
            </w:r>
            <w:r>
              <w:rPr>
                <w:rFonts w:hint="eastAsia" w:asciiTheme="minorEastAsia" w:hAnsiTheme="minorEastAsia" w:eastAsiaTheme="minorEastAsia" w:cstheme="minorEastAsia"/>
                <w:b w:val="0"/>
                <w:bCs w:val="0"/>
                <w:sz w:val="21"/>
                <w:szCs w:val="21"/>
                <w:lang w:val="en-US" w:eastAsia="zh-CN"/>
              </w:rPr>
              <w:t>否</w:t>
            </w:r>
            <w:r>
              <w:rPr>
                <w:rFonts w:hint="eastAsia" w:asciiTheme="minorEastAsia" w:hAnsiTheme="minorEastAsia" w:eastAsiaTheme="minorEastAsia" w:cstheme="minorEastAsia"/>
                <w:b w:val="0"/>
                <w:bCs w:val="0"/>
                <w:sz w:val="21"/>
                <w:szCs w:val="21"/>
              </w:rPr>
              <w:t>在有效期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7" w:hRule="atLeast"/>
          <w:jc w:val="center"/>
        </w:trPr>
        <w:tc>
          <w:tcPr>
            <w:tcW w:w="3256"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电子天平</w:t>
            </w:r>
          </w:p>
        </w:tc>
        <w:tc>
          <w:tcPr>
            <w:tcW w:w="3446"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b w:val="0"/>
                <w:bCs/>
                <w:sz w:val="21"/>
                <w:szCs w:val="21"/>
                <w:lang w:val="en-US" w:eastAsia="zh-CN"/>
              </w:rPr>
              <w:t>YJJC-JC-042</w:t>
            </w:r>
          </w:p>
        </w:tc>
        <w:tc>
          <w:tcPr>
            <w:tcW w:w="1662"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6" w:hRule="atLeast"/>
          <w:jc w:val="center"/>
        </w:trPr>
        <w:tc>
          <w:tcPr>
            <w:tcW w:w="3256"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多功能声级计</w:t>
            </w:r>
          </w:p>
        </w:tc>
        <w:tc>
          <w:tcPr>
            <w:tcW w:w="3446"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b w:val="0"/>
                <w:bCs/>
                <w:sz w:val="21"/>
                <w:szCs w:val="21"/>
                <w:lang w:val="en-US" w:eastAsia="zh-CN"/>
              </w:rPr>
              <w:t>YJJC-XC-037</w:t>
            </w:r>
          </w:p>
        </w:tc>
        <w:tc>
          <w:tcPr>
            <w:tcW w:w="1662"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6" w:hRule="atLeast"/>
          <w:jc w:val="center"/>
        </w:trPr>
        <w:tc>
          <w:tcPr>
            <w:tcW w:w="3256"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全自动大气/颗粒物采样器</w:t>
            </w:r>
          </w:p>
        </w:tc>
        <w:tc>
          <w:tcPr>
            <w:tcW w:w="3446" w:type="dxa"/>
            <w:vAlign w:val="center"/>
          </w:tcPr>
          <w:p>
            <w:pPr>
              <w:pStyle w:val="10"/>
              <w:spacing w:line="360" w:lineRule="auto"/>
              <w:ind w:left="0" w:leftChars="0" w:firstLine="0" w:firstLineChars="0"/>
              <w:jc w:val="cente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pPr>
            <w:r>
              <w:rPr>
                <w:rFonts w:hint="eastAsia" w:asciiTheme="minorEastAsia" w:hAnsiTheme="minorEastAsia" w:eastAsiaTheme="minorEastAsia" w:cstheme="minorEastAsia"/>
                <w:sz w:val="21"/>
                <w:szCs w:val="21"/>
                <w:lang w:val="en-US" w:eastAsia="zh-CN"/>
              </w:rPr>
              <w:t xml:space="preserve">YJJC-XC </w:t>
            </w:r>
            <w:r>
              <w:rPr>
                <w:rFonts w:hint="eastAsia" w:asciiTheme="minorEastAsia" w:hAnsiTheme="minorEastAsia" w:eastAsiaTheme="minorEastAsia" w:cstheme="minorEastAsia"/>
                <w:color w:val="000000" w:themeColor="text1"/>
                <w:sz w:val="21"/>
                <w:szCs w:val="21"/>
                <w:lang w:val="en-US" w:eastAsia="zh-CN"/>
                <w14:textFill>
                  <w14:solidFill>
                    <w14:schemeClr w14:val="tx1"/>
                  </w14:solidFill>
                </w14:textFill>
              </w:rPr>
              <w:t>026、027、028、029</w:t>
            </w:r>
          </w:p>
        </w:tc>
        <w:tc>
          <w:tcPr>
            <w:tcW w:w="1662"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6" w:hRule="atLeast"/>
          <w:jc w:val="center"/>
        </w:trPr>
        <w:tc>
          <w:tcPr>
            <w:tcW w:w="3256"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智能烟尘烟气分析仪</w:t>
            </w:r>
          </w:p>
        </w:tc>
        <w:tc>
          <w:tcPr>
            <w:tcW w:w="3446"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color w:val="000000" w:themeColor="text1"/>
                <w:sz w:val="21"/>
                <w:szCs w:val="21"/>
                <w:lang w:val="en-US"/>
                <w14:textFill>
                  <w14:solidFill>
                    <w14:schemeClr w14:val="tx1"/>
                  </w14:solidFill>
                </w14:textFill>
              </w:rPr>
            </w:pPr>
            <w:r>
              <w:rPr>
                <w:rFonts w:hint="eastAsia" w:asciiTheme="minorEastAsia" w:hAnsiTheme="minorEastAsia" w:eastAsiaTheme="minorEastAsia" w:cstheme="minorEastAsia"/>
                <w:b w:val="0"/>
                <w:bCs/>
                <w:sz w:val="21"/>
                <w:szCs w:val="21"/>
                <w:lang w:val="en-US" w:eastAsia="zh-CN"/>
              </w:rPr>
              <w:t>YJJC-XC-012</w:t>
            </w:r>
          </w:p>
        </w:tc>
        <w:tc>
          <w:tcPr>
            <w:tcW w:w="1662" w:type="dxa"/>
            <w:vAlign w:val="center"/>
          </w:tcPr>
          <w:p>
            <w:pPr>
              <w:adjustRightInd w:val="0"/>
              <w:snapToGrid w:val="0"/>
              <w:spacing w:line="240" w:lineRule="auto"/>
              <w:ind w:firstLine="0" w:firstLineChars="0"/>
              <w:jc w:val="center"/>
              <w:rPr>
                <w:rFonts w:hint="eastAsia" w:asciiTheme="minorEastAsia" w:hAnsiTheme="minorEastAsia" w:eastAsiaTheme="minorEastAsia" w:cstheme="minorEastAsia"/>
                <w:color w:val="000000" w:themeColor="text1"/>
                <w:sz w:val="21"/>
                <w:szCs w:val="21"/>
                <w14:textFill>
                  <w14:solidFill>
                    <w14:schemeClr w14:val="tx1"/>
                  </w14:solidFill>
                </w14:textFill>
              </w:rPr>
            </w:pPr>
            <w:r>
              <w:rPr>
                <w:rFonts w:hint="eastAsia" w:asciiTheme="minorEastAsia" w:hAnsiTheme="minorEastAsia" w:eastAsiaTheme="minorEastAsia" w:cstheme="minorEastAsia"/>
                <w:color w:val="000000" w:themeColor="text1"/>
                <w:sz w:val="21"/>
                <w:szCs w:val="21"/>
                <w14:textFill>
                  <w14:solidFill>
                    <w14:schemeClr w14:val="tx1"/>
                  </w14:solidFill>
                </w14:textFill>
              </w:rPr>
              <w:t>是</w:t>
            </w:r>
          </w:p>
        </w:tc>
      </w:tr>
    </w:tbl>
    <w:p>
      <w:pPr>
        <w:pStyle w:val="4"/>
        <w:outlineLvl w:val="9"/>
        <w:rPr>
          <w:rFonts w:hint="eastAsia" w:ascii="宋体" w:hAnsi="宋体" w:eastAsia="宋体" w:cs="宋体"/>
          <w:sz w:val="24"/>
          <w:szCs w:val="24"/>
          <w:lang w:val="en-US" w:eastAsia="zh-CN"/>
        </w:rPr>
      </w:pPr>
      <w:bookmarkStart w:id="126" w:name="_Toc514765581"/>
      <w:bookmarkStart w:id="127" w:name="_Toc516654694"/>
      <w:bookmarkStart w:id="128" w:name="_Toc514530215"/>
      <w:bookmarkStart w:id="129" w:name="_Toc27924"/>
    </w:p>
    <w:p>
      <w:pPr>
        <w:pStyle w:val="4"/>
        <w:rPr>
          <w:rFonts w:ascii="宋体" w:hAnsi="宋体" w:eastAsia="宋体" w:cs="宋体"/>
          <w:sz w:val="28"/>
          <w:szCs w:val="28"/>
        </w:rPr>
      </w:pPr>
      <w:bookmarkStart w:id="130" w:name="_Toc31990"/>
      <w:bookmarkStart w:id="131" w:name="_Toc14110"/>
      <w:r>
        <w:rPr>
          <w:rFonts w:hint="eastAsia" w:ascii="宋体" w:hAnsi="宋体" w:eastAsia="宋体" w:cs="宋体"/>
          <w:sz w:val="28"/>
          <w:szCs w:val="28"/>
          <w:lang w:val="en-US" w:eastAsia="zh-CN"/>
        </w:rPr>
        <w:t>6.5、</w:t>
      </w:r>
      <w:r>
        <w:rPr>
          <w:rFonts w:hint="eastAsia" w:ascii="宋体" w:hAnsi="宋体" w:eastAsia="宋体" w:cs="宋体"/>
          <w:sz w:val="28"/>
          <w:szCs w:val="28"/>
        </w:rPr>
        <w:t>质量保证和质量控制</w:t>
      </w:r>
      <w:bookmarkEnd w:id="126"/>
      <w:bookmarkEnd w:id="127"/>
      <w:bookmarkEnd w:id="128"/>
      <w:r>
        <w:rPr>
          <w:rFonts w:hint="eastAsia" w:ascii="宋体" w:hAnsi="宋体" w:eastAsia="宋体" w:cs="宋体"/>
          <w:sz w:val="28"/>
          <w:szCs w:val="28"/>
        </w:rPr>
        <w:t>要求</w:t>
      </w:r>
      <w:bookmarkEnd w:id="129"/>
      <w:bookmarkEnd w:id="130"/>
      <w:bookmarkEnd w:id="131"/>
    </w:p>
    <w:p>
      <w:pPr>
        <w:numPr>
          <w:ilvl w:val="0"/>
          <w:numId w:val="6"/>
        </w:numPr>
        <w:ind w:firstLine="0" w:firstLineChars="0"/>
        <w:rPr>
          <w:rFonts w:ascii="宋体" w:hAnsi="宋体" w:eastAsia="宋体" w:cs="宋体"/>
          <w:b/>
          <w:bCs/>
        </w:rPr>
      </w:pPr>
      <w:r>
        <w:rPr>
          <w:rFonts w:hint="eastAsia" w:ascii="宋体" w:hAnsi="宋体" w:eastAsia="宋体" w:cs="宋体"/>
          <w:b/>
          <w:bCs/>
        </w:rPr>
        <w:t>验收监测现场控制</w:t>
      </w:r>
    </w:p>
    <w:p>
      <w:pPr>
        <w:spacing w:line="360" w:lineRule="auto"/>
        <w:ind w:firstLine="480"/>
        <w:rPr>
          <w:rFonts w:ascii="宋体" w:hAnsi="宋体" w:eastAsia="宋体" w:cs="宋体"/>
        </w:rPr>
      </w:pPr>
      <w:r>
        <w:rPr>
          <w:rFonts w:hint="eastAsia" w:ascii="宋体" w:hAnsi="宋体" w:eastAsia="宋体" w:cs="宋体"/>
        </w:rPr>
        <w:t>环保设施竣工验收现场监测，应确保在生产装置工况稳定、环保</w:t>
      </w:r>
      <w:r>
        <w:rPr>
          <w:rFonts w:ascii="宋体" w:hAnsi="宋体" w:eastAsia="宋体" w:cs="宋体"/>
        </w:rPr>
        <w:t>设施运行</w:t>
      </w:r>
      <w:r>
        <w:rPr>
          <w:rFonts w:hint="eastAsia" w:ascii="宋体" w:hAnsi="宋体" w:eastAsia="宋体" w:cs="宋体"/>
        </w:rPr>
        <w:t>正常的情况下进行。监测期间，不可在系统设计参数基础上刻意加大环保试剂用量，不可人为强化或提高环保设施投运数量和出力。现场采样和测试应严格按《验收监测方案》进行，并对监测期间发生的各种异常情况进行详细记录，对未能按《验收监测方案》进行现场采样和测试的原因应予详细说明。环保设施竣工验收监测中使用的布点、采样、分析测试方法，应首先选择目前适用的国家和行业标准分析方法、监测技术规范，其次是国家环保总局推荐的统一分析方法或试行分析方法以及有关规定等。</w:t>
      </w:r>
    </w:p>
    <w:p>
      <w:pPr>
        <w:numPr>
          <w:ilvl w:val="0"/>
          <w:numId w:val="6"/>
        </w:numPr>
        <w:ind w:firstLine="0" w:firstLineChars="0"/>
        <w:rPr>
          <w:rFonts w:ascii="宋体" w:hAnsi="宋体" w:eastAsia="宋体" w:cs="宋体"/>
          <w:b/>
          <w:bCs/>
        </w:rPr>
      </w:pPr>
      <w:r>
        <w:rPr>
          <w:rFonts w:hint="eastAsia" w:ascii="宋体" w:hAnsi="宋体" w:eastAsia="宋体" w:cs="宋体"/>
          <w:b/>
          <w:bCs/>
        </w:rPr>
        <w:t>验收监测人员和仪器设备控制</w:t>
      </w:r>
    </w:p>
    <w:p>
      <w:pPr>
        <w:spacing w:line="360" w:lineRule="auto"/>
        <w:ind w:firstLine="480"/>
        <w:rPr>
          <w:rFonts w:ascii="宋体" w:hAnsi="宋体" w:eastAsia="宋体" w:cs="宋体"/>
        </w:rPr>
      </w:pPr>
      <w:r>
        <w:rPr>
          <w:rFonts w:hint="eastAsia" w:ascii="宋体" w:hAnsi="宋体" w:eastAsia="宋体" w:cs="宋体"/>
        </w:rPr>
        <w:t>环保设施竣工验收的质量保证和质量控制，按国家有关规定、监测技术规范和有关质量控制手册进行。参加环保设施竣工验收监测采样和测试的人员，应按国家有关规定持证上岗。监测仪器要在检定有效期内，采样前后要进行校准校核保证仪器的稳定性。</w:t>
      </w:r>
    </w:p>
    <w:p>
      <w:pPr>
        <w:numPr>
          <w:ilvl w:val="0"/>
          <w:numId w:val="6"/>
        </w:numPr>
        <w:spacing w:line="360" w:lineRule="auto"/>
        <w:ind w:firstLine="0" w:firstLineChars="0"/>
        <w:rPr>
          <w:rFonts w:ascii="宋体" w:hAnsi="宋体" w:eastAsia="宋体" w:cs="宋体"/>
          <w:b/>
          <w:bCs/>
        </w:rPr>
      </w:pPr>
      <w:r>
        <w:rPr>
          <w:rFonts w:hint="eastAsia" w:ascii="宋体" w:hAnsi="宋体" w:eastAsia="宋体" w:cs="宋体"/>
          <w:b/>
          <w:bCs/>
        </w:rPr>
        <w:t>采样记录及分析结果</w:t>
      </w:r>
    </w:p>
    <w:p>
      <w:pPr>
        <w:pStyle w:val="13"/>
        <w:spacing w:line="360" w:lineRule="auto"/>
        <w:ind w:firstLine="480" w:firstLineChars="200"/>
        <w:rPr>
          <w:sz w:val="24"/>
          <w:szCs w:val="24"/>
        </w:rPr>
      </w:pPr>
      <w:r>
        <w:rPr>
          <w:rFonts w:hint="eastAsia"/>
          <w:sz w:val="24"/>
          <w:szCs w:val="24"/>
        </w:rPr>
        <w:t>验收监测的采样记录及分析测试结果，按国家标准和监测技术规范有关要求进行数据处理和填报，并按有关规定和要求进行了三级审核。</w:t>
      </w:r>
    </w:p>
    <w:p>
      <w:pPr>
        <w:pStyle w:val="2"/>
        <w:numPr>
          <w:ilvl w:val="0"/>
          <w:numId w:val="0"/>
        </w:numPr>
        <w:spacing w:line="360" w:lineRule="auto"/>
        <w:outlineLvl w:val="1"/>
        <w:rPr>
          <w:rFonts w:ascii="宋体" w:hAnsi="宋体" w:cs="宋体"/>
          <w:sz w:val="28"/>
          <w:szCs w:val="28"/>
        </w:rPr>
      </w:pPr>
      <w:bookmarkStart w:id="132" w:name="_Toc3833"/>
      <w:bookmarkStart w:id="133" w:name="_Toc14769"/>
      <w:bookmarkStart w:id="134" w:name="_Toc17527"/>
      <w:r>
        <w:rPr>
          <w:rFonts w:hint="eastAsia" w:ascii="宋体" w:hAnsi="宋体" w:cs="宋体"/>
          <w:sz w:val="28"/>
          <w:szCs w:val="28"/>
          <w:lang w:val="en-US" w:eastAsia="zh-CN"/>
        </w:rPr>
        <w:t>6.6、</w:t>
      </w:r>
      <w:r>
        <w:rPr>
          <w:rFonts w:hint="eastAsia" w:ascii="宋体" w:hAnsi="宋体" w:cs="宋体"/>
          <w:sz w:val="28"/>
          <w:szCs w:val="28"/>
        </w:rPr>
        <w:t>验收监测结果</w:t>
      </w:r>
      <w:bookmarkEnd w:id="132"/>
      <w:bookmarkEnd w:id="133"/>
      <w:bookmarkEnd w:id="134"/>
    </w:p>
    <w:p>
      <w:pPr>
        <w:pStyle w:val="4"/>
        <w:spacing w:line="360" w:lineRule="auto"/>
        <w:rPr>
          <w:rFonts w:hint="eastAsia" w:ascii="宋体" w:hAnsi="宋体" w:eastAsia="宋体" w:cs="宋体"/>
          <w:sz w:val="24"/>
          <w:szCs w:val="24"/>
        </w:rPr>
      </w:pPr>
      <w:bookmarkStart w:id="135" w:name="_Toc5831"/>
      <w:bookmarkStart w:id="136" w:name="_Toc6467"/>
      <w:bookmarkStart w:id="137" w:name="_Toc22104"/>
      <w:bookmarkStart w:id="138" w:name="_Toc6814"/>
      <w:r>
        <w:rPr>
          <w:rFonts w:hint="eastAsia" w:ascii="宋体" w:hAnsi="宋体" w:eastAsia="宋体" w:cs="宋体"/>
          <w:sz w:val="24"/>
          <w:szCs w:val="24"/>
          <w:lang w:val="en-US" w:eastAsia="zh-CN"/>
        </w:rPr>
        <w:t>6.6.1</w:t>
      </w:r>
      <w:r>
        <w:rPr>
          <w:rFonts w:hint="eastAsia" w:ascii="宋体" w:hAnsi="宋体" w:eastAsia="宋体" w:cs="宋体"/>
          <w:sz w:val="24"/>
          <w:szCs w:val="24"/>
        </w:rPr>
        <w:t>生产工况和天气条件</w:t>
      </w:r>
      <w:bookmarkEnd w:id="135"/>
      <w:bookmarkEnd w:id="136"/>
      <w:bookmarkEnd w:id="137"/>
      <w:bookmarkEnd w:id="138"/>
    </w:p>
    <w:p>
      <w:pPr>
        <w:pStyle w:val="4"/>
        <w:spacing w:line="360" w:lineRule="auto"/>
        <w:ind w:firstLine="480" w:firstLineChars="200"/>
        <w:rPr>
          <w:rFonts w:hint="eastAsia" w:ascii="宋体" w:hAnsi="宋体" w:eastAsia="宋体" w:cs="宋体"/>
          <w:b w:val="0"/>
          <w:bCs w:val="0"/>
        </w:rPr>
      </w:pPr>
      <w:bookmarkStart w:id="139" w:name="_Toc29091"/>
      <w:bookmarkStart w:id="140" w:name="_Toc29386"/>
      <w:bookmarkStart w:id="141" w:name="_Toc23836"/>
      <w:bookmarkStart w:id="142" w:name="_Toc4107"/>
      <w:r>
        <w:rPr>
          <w:rFonts w:hint="eastAsia" w:ascii="宋体" w:hAnsi="宋体" w:eastAsia="宋体" w:cs="宋体"/>
          <w:b w:val="0"/>
          <w:bCs w:val="0"/>
          <w:sz w:val="24"/>
          <w:szCs w:val="24"/>
        </w:rPr>
        <w:t>根据《建设项目环境保护设施竣工验收监测技术要求》的有关规定和要求，验收监测应在工况稳定、环保设施</w:t>
      </w:r>
      <w:r>
        <w:rPr>
          <w:rFonts w:ascii="宋体" w:hAnsi="宋体" w:eastAsia="宋体" w:cs="宋体"/>
          <w:b w:val="0"/>
          <w:bCs w:val="0"/>
          <w:sz w:val="24"/>
          <w:szCs w:val="24"/>
        </w:rPr>
        <w:t>运行正常的</w:t>
      </w:r>
      <w:r>
        <w:rPr>
          <w:rFonts w:hint="eastAsia" w:ascii="宋体" w:hAnsi="宋体" w:eastAsia="宋体" w:cs="宋体"/>
          <w:b w:val="0"/>
          <w:bCs w:val="0"/>
          <w:sz w:val="24"/>
          <w:szCs w:val="24"/>
        </w:rPr>
        <w:t>情况下进行。通过对生产状况的调查以及厂方提供的资料显示，项目验收期间生产工况见表</w:t>
      </w:r>
      <w:r>
        <w:rPr>
          <w:rFonts w:hint="eastAsia" w:ascii="宋体" w:hAnsi="宋体" w:eastAsia="宋体" w:cs="宋体"/>
          <w:b w:val="0"/>
          <w:bCs w:val="0"/>
          <w:sz w:val="24"/>
          <w:szCs w:val="24"/>
          <w:lang w:val="en-US" w:eastAsia="zh-CN"/>
        </w:rPr>
        <w:t>6.6-1</w:t>
      </w:r>
      <w:r>
        <w:rPr>
          <w:rFonts w:hint="eastAsia" w:ascii="宋体" w:hAnsi="宋体" w:eastAsia="宋体" w:cs="宋体"/>
          <w:b w:val="0"/>
          <w:bCs w:val="0"/>
          <w:sz w:val="24"/>
          <w:szCs w:val="24"/>
        </w:rPr>
        <w:t>、监测期间天气情况</w:t>
      </w:r>
      <w:r>
        <w:rPr>
          <w:rFonts w:hint="eastAsia" w:ascii="宋体" w:hAnsi="宋体" w:eastAsia="宋体" w:cs="宋体"/>
          <w:b w:val="0"/>
          <w:bCs w:val="0"/>
          <w:sz w:val="24"/>
          <w:szCs w:val="24"/>
          <w:lang w:val="en-US" w:eastAsia="zh-CN"/>
        </w:rPr>
        <w:t>见</w:t>
      </w:r>
      <w:r>
        <w:rPr>
          <w:rFonts w:hint="eastAsia" w:ascii="宋体" w:hAnsi="宋体" w:eastAsia="宋体" w:cs="宋体"/>
          <w:b w:val="0"/>
          <w:bCs w:val="0"/>
          <w:sz w:val="24"/>
          <w:szCs w:val="24"/>
        </w:rPr>
        <w:t>表</w:t>
      </w:r>
      <w:r>
        <w:rPr>
          <w:rFonts w:hint="eastAsia" w:ascii="宋体" w:hAnsi="宋体" w:eastAsia="宋体" w:cs="宋体"/>
          <w:b w:val="0"/>
          <w:bCs w:val="0"/>
          <w:sz w:val="24"/>
          <w:szCs w:val="24"/>
          <w:lang w:val="en-US" w:eastAsia="zh-CN"/>
        </w:rPr>
        <w:t>6.6-2、监测点位见图6.6-1</w:t>
      </w:r>
      <w:r>
        <w:rPr>
          <w:rFonts w:hint="eastAsia" w:ascii="宋体" w:hAnsi="宋体" w:eastAsia="宋体" w:cs="宋体"/>
          <w:bCs/>
        </w:rPr>
        <w:t>。</w:t>
      </w:r>
      <w:bookmarkEnd w:id="139"/>
      <w:bookmarkEnd w:id="140"/>
      <w:bookmarkEnd w:id="141"/>
      <w:bookmarkEnd w:id="142"/>
    </w:p>
    <w:p>
      <w:pPr>
        <w:tabs>
          <w:tab w:val="left" w:pos="315"/>
        </w:tabs>
        <w:ind w:firstLine="2160" w:firstLineChars="900"/>
        <w:jc w:val="both"/>
        <w:rPr>
          <w:rFonts w:hint="eastAsia" w:ascii="宋体" w:hAnsi="宋体" w:eastAsia="宋体" w:cs="宋体"/>
          <w:b w:val="0"/>
          <w:bCs w:val="0"/>
        </w:rPr>
      </w:pPr>
      <w:r>
        <w:rPr>
          <w:rFonts w:hint="eastAsia" w:ascii="宋体" w:hAnsi="宋体" w:eastAsia="宋体" w:cs="宋体"/>
          <w:b w:val="0"/>
          <w:bCs w:val="0"/>
        </w:rPr>
        <w:t>表</w:t>
      </w:r>
      <w:r>
        <w:rPr>
          <w:rFonts w:hint="eastAsia" w:ascii="宋体" w:hAnsi="宋体" w:eastAsia="宋体" w:cs="宋体"/>
          <w:b w:val="0"/>
          <w:bCs w:val="0"/>
          <w:lang w:val="en-US" w:eastAsia="zh-CN"/>
        </w:rPr>
        <w:t>6.6</w:t>
      </w:r>
      <w:r>
        <w:rPr>
          <w:rFonts w:hint="eastAsia" w:ascii="宋体" w:hAnsi="宋体" w:eastAsia="宋体" w:cs="宋体"/>
          <w:b w:val="0"/>
          <w:bCs w:val="0"/>
        </w:rPr>
        <w:t>-1  监测期间工况表</w:t>
      </w:r>
    </w:p>
    <w:tbl>
      <w:tblPr>
        <w:tblStyle w:val="24"/>
        <w:tblW w:w="0" w:type="auto"/>
        <w:tblInd w:w="2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7"/>
        <w:gridCol w:w="1547"/>
        <w:gridCol w:w="1704"/>
        <w:gridCol w:w="1705"/>
        <w:gridCol w:w="15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trPr>
        <w:tc>
          <w:tcPr>
            <w:tcW w:w="1657" w:type="dxa"/>
            <w:vAlign w:val="center"/>
          </w:tcPr>
          <w:p>
            <w:pPr>
              <w:pStyle w:val="6"/>
              <w:numPr>
                <w:ilvl w:val="7"/>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监测日期</w:t>
            </w:r>
          </w:p>
        </w:tc>
        <w:tc>
          <w:tcPr>
            <w:tcW w:w="1547" w:type="dxa"/>
            <w:vAlign w:val="center"/>
          </w:tcPr>
          <w:p>
            <w:pPr>
              <w:pStyle w:val="6"/>
              <w:numPr>
                <w:ilvl w:val="7"/>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肉牛养殖</w:t>
            </w:r>
          </w:p>
        </w:tc>
        <w:tc>
          <w:tcPr>
            <w:tcW w:w="1704" w:type="dxa"/>
            <w:vAlign w:val="center"/>
          </w:tcPr>
          <w:p>
            <w:pPr>
              <w:pStyle w:val="6"/>
              <w:numPr>
                <w:ilvl w:val="7"/>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监测期间实际养殖规模（头）</w:t>
            </w:r>
          </w:p>
        </w:tc>
        <w:tc>
          <w:tcPr>
            <w:tcW w:w="1705" w:type="dxa"/>
            <w:vAlign w:val="center"/>
          </w:tcPr>
          <w:p>
            <w:pPr>
              <w:pStyle w:val="6"/>
              <w:numPr>
                <w:ilvl w:val="7"/>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环评设计养殖规模（头）</w:t>
            </w:r>
          </w:p>
        </w:tc>
        <w:tc>
          <w:tcPr>
            <w:tcW w:w="1547" w:type="dxa"/>
            <w:vAlign w:val="center"/>
          </w:tcPr>
          <w:p>
            <w:pPr>
              <w:pStyle w:val="6"/>
              <w:numPr>
                <w:ilvl w:val="7"/>
                <w:numId w:val="0"/>
              </w:numPr>
              <w:spacing w:line="240" w:lineRule="auto"/>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占实际养殖规模百分比%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1657" w:type="dxa"/>
            <w:vAlign w:val="center"/>
          </w:tcPr>
          <w:p>
            <w:pPr>
              <w:pStyle w:val="6"/>
              <w:numPr>
                <w:ilvl w:val="7"/>
                <w:numId w:val="0"/>
              </w:numPr>
              <w:spacing w:line="240" w:lineRule="auto"/>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2023年 月  日</w:t>
            </w:r>
          </w:p>
        </w:tc>
        <w:tc>
          <w:tcPr>
            <w:tcW w:w="1547" w:type="dxa"/>
            <w:vAlign w:val="center"/>
          </w:tcPr>
          <w:p>
            <w:pPr>
              <w:pStyle w:val="6"/>
              <w:numPr>
                <w:ilvl w:val="7"/>
                <w:numId w:val="0"/>
              </w:numPr>
              <w:spacing w:line="240" w:lineRule="auto"/>
              <w:jc w:val="center"/>
              <w:rPr>
                <w:rFonts w:hint="eastAsia" w:asciiTheme="minorEastAsia" w:hAnsiTheme="minorEastAsia" w:eastAsiaTheme="minorEastAsia" w:cstheme="minorEastAsia"/>
                <w:sz w:val="21"/>
                <w:szCs w:val="21"/>
                <w:vertAlign w:val="baseline"/>
              </w:rPr>
            </w:pPr>
            <w:r>
              <w:rPr>
                <w:rFonts w:hint="eastAsia" w:asciiTheme="minorEastAsia" w:hAnsiTheme="minorEastAsia" w:eastAsiaTheme="minorEastAsia" w:cstheme="minorEastAsia"/>
                <w:sz w:val="21"/>
                <w:szCs w:val="21"/>
                <w:vertAlign w:val="baseline"/>
                <w:lang w:val="en-US" w:eastAsia="zh-CN"/>
              </w:rPr>
              <w:t>肉牛养殖</w:t>
            </w:r>
          </w:p>
        </w:tc>
        <w:tc>
          <w:tcPr>
            <w:tcW w:w="1704" w:type="dxa"/>
            <w:vAlign w:val="center"/>
          </w:tcPr>
          <w:p>
            <w:pPr>
              <w:pStyle w:val="6"/>
              <w:numPr>
                <w:ilvl w:val="7"/>
                <w:numId w:val="0"/>
              </w:numPr>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800</w:t>
            </w:r>
          </w:p>
        </w:tc>
        <w:tc>
          <w:tcPr>
            <w:tcW w:w="1705" w:type="dxa"/>
            <w:vAlign w:val="center"/>
          </w:tcPr>
          <w:p>
            <w:pPr>
              <w:pStyle w:val="6"/>
              <w:numPr>
                <w:ilvl w:val="7"/>
                <w:numId w:val="0"/>
              </w:numPr>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2000</w:t>
            </w:r>
          </w:p>
        </w:tc>
        <w:tc>
          <w:tcPr>
            <w:tcW w:w="1547" w:type="dxa"/>
            <w:vAlign w:val="center"/>
          </w:tcPr>
          <w:p>
            <w:pPr>
              <w:pStyle w:val="6"/>
              <w:numPr>
                <w:ilvl w:val="7"/>
                <w:numId w:val="0"/>
              </w:numPr>
              <w:spacing w:line="240" w:lineRule="auto"/>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6" w:hRule="atLeast"/>
        </w:trPr>
        <w:tc>
          <w:tcPr>
            <w:tcW w:w="8160" w:type="dxa"/>
            <w:gridSpan w:val="5"/>
            <w:vAlign w:val="center"/>
          </w:tcPr>
          <w:p>
            <w:pPr>
              <w:pStyle w:val="6"/>
              <w:numPr>
                <w:ilvl w:val="7"/>
                <w:numId w:val="0"/>
              </w:numPr>
              <w:spacing w:line="240" w:lineRule="auto"/>
              <w:jc w:val="left"/>
              <w:rPr>
                <w:rFonts w:hint="default" w:asciiTheme="minorEastAsia" w:hAnsiTheme="minorEastAsia" w:eastAsiaTheme="minorEastAsia" w:cstheme="minorEastAsia"/>
                <w:sz w:val="21"/>
                <w:szCs w:val="21"/>
                <w:vertAlign w:val="baseline"/>
                <w:lang w:val="en-US"/>
              </w:rPr>
            </w:pPr>
            <w:r>
              <w:rPr>
                <w:rFonts w:hint="eastAsia" w:ascii="宋体" w:hAnsi="宋体" w:eastAsia="宋体" w:cs="宋体"/>
                <w:sz w:val="21"/>
                <w:szCs w:val="21"/>
              </w:rPr>
              <w:t>备注：</w:t>
            </w:r>
            <w:r>
              <w:rPr>
                <w:rFonts w:hint="eastAsia" w:ascii="宋体" w:hAnsi="宋体" w:eastAsia="宋体" w:cs="宋体"/>
                <w:sz w:val="21"/>
                <w:szCs w:val="21"/>
                <w:lang w:val="en-US" w:eastAsia="zh-CN"/>
              </w:rPr>
              <w:t>本次监测在企业项目配套的环保污染处理设施按设计要求已建成投入运行的情况下，为项目的一期工程（先行）验收。</w:t>
            </w:r>
          </w:p>
        </w:tc>
      </w:tr>
    </w:tbl>
    <w:p>
      <w:pPr>
        <w:spacing w:line="360" w:lineRule="auto"/>
        <w:ind w:firstLine="0" w:firstLineChars="0"/>
        <w:jc w:val="both"/>
        <w:rPr>
          <w:rFonts w:hint="eastAsia" w:ascii="宋体" w:hAnsi="宋体" w:eastAsia="宋体" w:cs="宋体"/>
          <w:b w:val="0"/>
          <w:bCs w:val="0"/>
        </w:rPr>
      </w:pPr>
    </w:p>
    <w:p>
      <w:pPr>
        <w:spacing w:line="360" w:lineRule="auto"/>
        <w:ind w:firstLine="0" w:firstLineChars="0"/>
        <w:jc w:val="center"/>
        <w:rPr>
          <w:rFonts w:hint="eastAsia" w:ascii="宋体" w:hAnsi="宋体" w:eastAsia="宋体" w:cs="宋体"/>
          <w:b w:val="0"/>
          <w:bCs w:val="0"/>
        </w:rPr>
      </w:pPr>
    </w:p>
    <w:p>
      <w:pPr>
        <w:spacing w:line="360" w:lineRule="auto"/>
        <w:ind w:firstLine="0" w:firstLineChars="0"/>
        <w:jc w:val="center"/>
        <w:rPr>
          <w:rFonts w:hint="eastAsia" w:ascii="宋体" w:hAnsi="宋体" w:eastAsia="宋体" w:cs="宋体"/>
          <w:b w:val="0"/>
          <w:bCs w:val="0"/>
        </w:rPr>
      </w:pPr>
    </w:p>
    <w:p>
      <w:pPr>
        <w:spacing w:line="360" w:lineRule="auto"/>
        <w:ind w:firstLine="0" w:firstLineChars="0"/>
        <w:jc w:val="center"/>
        <w:rPr>
          <w:rFonts w:eastAsia="楷体"/>
          <w:sz w:val="24"/>
          <w:szCs w:val="24"/>
        </w:rPr>
      </w:pPr>
      <w:r>
        <w:rPr>
          <w:rFonts w:hint="eastAsia" w:ascii="宋体" w:hAnsi="宋体" w:eastAsia="宋体" w:cs="宋体"/>
          <w:b w:val="0"/>
          <w:bCs w:val="0"/>
        </w:rPr>
        <w:t>表</w:t>
      </w:r>
      <w:r>
        <w:rPr>
          <w:rFonts w:hint="eastAsia" w:ascii="宋体" w:hAnsi="宋体" w:eastAsia="宋体" w:cs="宋体"/>
          <w:b w:val="0"/>
          <w:bCs w:val="0"/>
          <w:lang w:val="en-US" w:eastAsia="zh-CN"/>
        </w:rPr>
        <w:t>6.6-2</w:t>
      </w:r>
      <w:r>
        <w:rPr>
          <w:rFonts w:hint="eastAsia" w:ascii="宋体" w:hAnsi="宋体" w:eastAsia="宋体" w:cs="宋体"/>
          <w:b w:val="0"/>
          <w:bCs w:val="0"/>
        </w:rPr>
        <w:t xml:space="preserve"> 监测</w:t>
      </w:r>
      <w:r>
        <w:rPr>
          <w:rFonts w:ascii="宋体" w:hAnsi="宋体" w:eastAsia="宋体" w:cs="宋体"/>
          <w:b w:val="0"/>
          <w:bCs w:val="0"/>
        </w:rPr>
        <w:t>期间</w:t>
      </w:r>
      <w:r>
        <w:rPr>
          <w:rFonts w:hint="eastAsia" w:ascii="宋体" w:hAnsi="宋体" w:eastAsia="宋体" w:cs="宋体"/>
          <w:b w:val="0"/>
          <w:bCs w:val="0"/>
        </w:rPr>
        <w:t>天气条件表（一</w:t>
      </w:r>
      <w:r>
        <w:rPr>
          <w:rFonts w:ascii="宋体" w:hAnsi="宋体" w:eastAsia="宋体" w:cs="宋体"/>
          <w:b w:val="0"/>
          <w:bCs w:val="0"/>
        </w:rPr>
        <w:t>）</w:t>
      </w:r>
    </w:p>
    <w:tbl>
      <w:tblPr>
        <w:tblStyle w:val="24"/>
        <w:tblW w:w="85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1166"/>
        <w:gridCol w:w="1260"/>
        <w:gridCol w:w="1020"/>
        <w:gridCol w:w="1035"/>
        <w:gridCol w:w="885"/>
        <w:gridCol w:w="1080"/>
        <w:gridCol w:w="8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5" w:hRule="exact"/>
          <w:jc w:val="center"/>
        </w:trPr>
        <w:tc>
          <w:tcPr>
            <w:tcW w:w="116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采样时间</w:t>
            </w:r>
          </w:p>
        </w:tc>
        <w:tc>
          <w:tcPr>
            <w:tcW w:w="24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检测点位</w:t>
            </w:r>
          </w:p>
        </w:tc>
        <w:tc>
          <w:tcPr>
            <w:tcW w:w="10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风向</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风速（m/s）</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气温（</w:t>
            </w:r>
            <w:r>
              <w:rPr>
                <w:rFonts w:hint="eastAsia" w:asciiTheme="minorEastAsia" w:hAnsiTheme="minorEastAsia" w:eastAsiaTheme="minorEastAsia" w:cstheme="minorEastAsia"/>
                <w:b w:val="0"/>
                <w:bCs w:val="0"/>
                <w:sz w:val="21"/>
                <w:szCs w:val="21"/>
                <w:vertAlign w:val="baseline"/>
                <w:lang w:val="en-US" w:eastAsia="zh-CN"/>
              </w:rPr>
              <w:t>℃</w:t>
            </w:r>
            <w:r>
              <w:rPr>
                <w:rFonts w:hint="eastAsia" w:asciiTheme="minorEastAsia" w:hAnsiTheme="minorEastAsia" w:eastAsiaTheme="minorEastAsia" w:cstheme="minorEastAsia"/>
                <w:sz w:val="21"/>
                <w:szCs w:val="21"/>
                <w:vertAlign w:val="baseline"/>
                <w:lang w:val="en-US" w:eastAsia="zh-CN"/>
              </w:rPr>
              <w:t>）</w:t>
            </w:r>
          </w:p>
        </w:tc>
        <w:tc>
          <w:tcPr>
            <w:tcW w:w="108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气压（Kpa）</w:t>
            </w:r>
          </w:p>
        </w:tc>
        <w:tc>
          <w:tcPr>
            <w:tcW w:w="80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天气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exact"/>
          <w:jc w:val="center"/>
        </w:trPr>
        <w:tc>
          <w:tcPr>
            <w:tcW w:w="116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color w:val="auto"/>
                <w:sz w:val="21"/>
                <w:szCs w:val="21"/>
                <w:lang w:val="en-US" w:eastAsia="zh-CN"/>
              </w:rPr>
              <w:t>10月10日</w:t>
            </w:r>
          </w:p>
        </w:tc>
        <w:tc>
          <w:tcPr>
            <w:tcW w:w="116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kern w:val="2"/>
                <w:sz w:val="21"/>
                <w:szCs w:val="21"/>
                <w:vertAlign w:val="baseline"/>
                <w:lang w:val="en-US" w:eastAsia="zh-CN" w:bidi="ar-SA"/>
              </w:rPr>
            </w:pPr>
            <w:r>
              <w:rPr>
                <w:rFonts w:hint="eastAsia" w:asciiTheme="minorEastAsia" w:hAnsiTheme="minorEastAsia" w:eastAsiaTheme="minorEastAsia" w:cstheme="minorEastAsia"/>
                <w:color w:val="auto"/>
                <w:sz w:val="21"/>
                <w:szCs w:val="21"/>
                <w:lang w:val="en-US" w:eastAsia="zh-CN"/>
              </w:rPr>
              <w:t>1</w:t>
            </w:r>
            <w:r>
              <w:rPr>
                <w:rFonts w:hint="eastAsia" w:asciiTheme="minorEastAsia" w:hAnsiTheme="minorEastAsia" w:eastAsiaTheme="minorEastAsia" w:cstheme="minorEastAsia"/>
                <w:color w:val="auto"/>
                <w:sz w:val="21"/>
                <w:szCs w:val="21"/>
                <w:vertAlign w:val="superscript"/>
                <w:lang w:val="en-US" w:eastAsia="zh-CN"/>
              </w:rPr>
              <w:t>#</w:t>
            </w:r>
            <w:r>
              <w:rPr>
                <w:rFonts w:hint="eastAsia" w:asciiTheme="minorEastAsia" w:hAnsiTheme="minorEastAsia" w:eastAsiaTheme="minorEastAsia" w:cstheme="minorEastAsia"/>
                <w:color w:val="auto"/>
                <w:sz w:val="21"/>
                <w:szCs w:val="21"/>
                <w:lang w:val="en-US" w:eastAsia="zh-CN"/>
              </w:rPr>
              <w:t>厂界东</w:t>
            </w:r>
          </w:p>
        </w:tc>
        <w:tc>
          <w:tcPr>
            <w:tcW w:w="1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color w:val="auto"/>
                <w:kern w:val="2"/>
                <w:sz w:val="21"/>
                <w:szCs w:val="21"/>
                <w:lang w:val="en-US" w:eastAsia="zh-CN" w:bidi="ar-SA"/>
              </w:rPr>
              <w:t>第一次</w:t>
            </w:r>
          </w:p>
        </w:tc>
        <w:tc>
          <w:tcPr>
            <w:tcW w:w="10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东南</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1.2</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17</w:t>
            </w:r>
          </w:p>
        </w:tc>
        <w:tc>
          <w:tcPr>
            <w:tcW w:w="108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102.7</w:t>
            </w:r>
          </w:p>
        </w:tc>
        <w:tc>
          <w:tcPr>
            <w:tcW w:w="80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exact"/>
          <w:jc w:val="center"/>
        </w:trPr>
        <w:tc>
          <w:tcPr>
            <w:tcW w:w="11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rPr>
            </w:pPr>
          </w:p>
        </w:tc>
        <w:tc>
          <w:tcPr>
            <w:tcW w:w="116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p>
        </w:tc>
        <w:tc>
          <w:tcPr>
            <w:tcW w:w="1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color w:val="auto"/>
                <w:kern w:val="2"/>
                <w:sz w:val="21"/>
                <w:szCs w:val="21"/>
                <w:lang w:val="en-US" w:eastAsia="zh-CN" w:bidi="ar-SA"/>
              </w:rPr>
              <w:t>第二次</w:t>
            </w:r>
          </w:p>
        </w:tc>
        <w:tc>
          <w:tcPr>
            <w:tcW w:w="10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东南</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1.3</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20</w:t>
            </w:r>
          </w:p>
        </w:tc>
        <w:tc>
          <w:tcPr>
            <w:tcW w:w="108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100.5</w:t>
            </w:r>
          </w:p>
        </w:tc>
        <w:tc>
          <w:tcPr>
            <w:tcW w:w="80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kern w:val="2"/>
                <w:sz w:val="21"/>
                <w:szCs w:val="21"/>
                <w:vertAlign w:val="baseline"/>
                <w:lang w:val="en-US" w:eastAsia="zh-CN" w:bidi="ar-SA"/>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exact"/>
          <w:jc w:val="center"/>
        </w:trPr>
        <w:tc>
          <w:tcPr>
            <w:tcW w:w="11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vertAlign w:val="baseline"/>
                <w:lang w:val="en-US" w:eastAsia="zh-CN"/>
              </w:rPr>
            </w:pPr>
          </w:p>
        </w:tc>
        <w:tc>
          <w:tcPr>
            <w:tcW w:w="116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p>
        </w:tc>
        <w:tc>
          <w:tcPr>
            <w:tcW w:w="1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color w:val="auto"/>
                <w:kern w:val="2"/>
                <w:sz w:val="21"/>
                <w:szCs w:val="21"/>
                <w:lang w:val="en-US" w:eastAsia="zh-CN" w:bidi="ar-SA"/>
              </w:rPr>
              <w:t>第三次</w:t>
            </w:r>
          </w:p>
        </w:tc>
        <w:tc>
          <w:tcPr>
            <w:tcW w:w="10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东南</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1.4</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21</w:t>
            </w:r>
          </w:p>
        </w:tc>
        <w:tc>
          <w:tcPr>
            <w:tcW w:w="108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100.1</w:t>
            </w:r>
          </w:p>
        </w:tc>
        <w:tc>
          <w:tcPr>
            <w:tcW w:w="80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exact"/>
          <w:jc w:val="center"/>
        </w:trPr>
        <w:tc>
          <w:tcPr>
            <w:tcW w:w="11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vertAlign w:val="baseline"/>
                <w:lang w:val="en-US" w:eastAsia="zh-CN"/>
              </w:rPr>
            </w:pPr>
          </w:p>
        </w:tc>
        <w:tc>
          <w:tcPr>
            <w:tcW w:w="116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p>
        </w:tc>
        <w:tc>
          <w:tcPr>
            <w:tcW w:w="1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color w:val="auto"/>
                <w:kern w:val="2"/>
                <w:sz w:val="21"/>
                <w:szCs w:val="21"/>
                <w:lang w:val="en-US" w:eastAsia="zh-CN" w:bidi="ar-SA"/>
              </w:rPr>
              <w:t>第四次</w:t>
            </w:r>
          </w:p>
        </w:tc>
        <w:tc>
          <w:tcPr>
            <w:tcW w:w="10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东南</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1.4</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18</w:t>
            </w:r>
          </w:p>
        </w:tc>
        <w:tc>
          <w:tcPr>
            <w:tcW w:w="108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101.3</w:t>
            </w:r>
          </w:p>
        </w:tc>
        <w:tc>
          <w:tcPr>
            <w:tcW w:w="80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kern w:val="2"/>
                <w:sz w:val="21"/>
                <w:szCs w:val="21"/>
                <w:vertAlign w:val="baseline"/>
                <w:lang w:val="en-US" w:eastAsia="zh-CN" w:bidi="ar-SA"/>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exact"/>
          <w:jc w:val="center"/>
        </w:trPr>
        <w:tc>
          <w:tcPr>
            <w:tcW w:w="116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color w:val="auto"/>
                <w:sz w:val="21"/>
                <w:szCs w:val="21"/>
                <w:lang w:val="en-US" w:eastAsia="zh-CN"/>
              </w:rPr>
              <w:t>10月11日</w:t>
            </w:r>
          </w:p>
        </w:tc>
        <w:tc>
          <w:tcPr>
            <w:tcW w:w="116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kern w:val="2"/>
                <w:sz w:val="21"/>
                <w:szCs w:val="21"/>
                <w:vertAlign w:val="baseline"/>
                <w:lang w:val="en-US" w:eastAsia="zh-CN" w:bidi="ar-SA"/>
              </w:rPr>
            </w:pPr>
            <w:r>
              <w:rPr>
                <w:rFonts w:hint="eastAsia" w:asciiTheme="minorEastAsia" w:hAnsiTheme="minorEastAsia" w:eastAsiaTheme="minorEastAsia" w:cstheme="minorEastAsia"/>
                <w:color w:val="auto"/>
                <w:sz w:val="21"/>
                <w:szCs w:val="21"/>
                <w:lang w:val="en-US" w:eastAsia="zh-CN"/>
              </w:rPr>
              <w:t>1</w:t>
            </w:r>
            <w:r>
              <w:rPr>
                <w:rFonts w:hint="eastAsia" w:asciiTheme="minorEastAsia" w:hAnsiTheme="minorEastAsia" w:eastAsiaTheme="minorEastAsia" w:cstheme="minorEastAsia"/>
                <w:color w:val="auto"/>
                <w:sz w:val="21"/>
                <w:szCs w:val="21"/>
                <w:vertAlign w:val="superscript"/>
                <w:lang w:val="en-US" w:eastAsia="zh-CN"/>
              </w:rPr>
              <w:t>#</w:t>
            </w:r>
            <w:r>
              <w:rPr>
                <w:rFonts w:hint="eastAsia" w:asciiTheme="minorEastAsia" w:hAnsiTheme="minorEastAsia" w:eastAsiaTheme="minorEastAsia" w:cstheme="minorEastAsia"/>
                <w:color w:val="auto"/>
                <w:sz w:val="21"/>
                <w:szCs w:val="21"/>
                <w:lang w:val="en-US" w:eastAsia="zh-CN"/>
              </w:rPr>
              <w:t>厂界东</w:t>
            </w:r>
          </w:p>
        </w:tc>
        <w:tc>
          <w:tcPr>
            <w:tcW w:w="1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color w:val="auto"/>
                <w:kern w:val="2"/>
                <w:sz w:val="21"/>
                <w:szCs w:val="21"/>
                <w:lang w:val="en-US" w:eastAsia="zh-CN" w:bidi="ar-SA"/>
              </w:rPr>
              <w:t>第一次</w:t>
            </w:r>
          </w:p>
        </w:tc>
        <w:tc>
          <w:tcPr>
            <w:tcW w:w="10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东北</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1.4</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18</w:t>
            </w:r>
          </w:p>
        </w:tc>
        <w:tc>
          <w:tcPr>
            <w:tcW w:w="108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101.1</w:t>
            </w:r>
          </w:p>
        </w:tc>
        <w:tc>
          <w:tcPr>
            <w:tcW w:w="80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exact"/>
          <w:jc w:val="center"/>
        </w:trPr>
        <w:tc>
          <w:tcPr>
            <w:tcW w:w="11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rPr>
            </w:pPr>
          </w:p>
        </w:tc>
        <w:tc>
          <w:tcPr>
            <w:tcW w:w="116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p>
        </w:tc>
        <w:tc>
          <w:tcPr>
            <w:tcW w:w="1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color w:val="auto"/>
                <w:kern w:val="2"/>
                <w:sz w:val="21"/>
                <w:szCs w:val="21"/>
                <w:lang w:val="en-US" w:eastAsia="zh-CN" w:bidi="ar-SA"/>
              </w:rPr>
              <w:t>第二次</w:t>
            </w:r>
          </w:p>
        </w:tc>
        <w:tc>
          <w:tcPr>
            <w:tcW w:w="10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东北</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1.5</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20</w:t>
            </w:r>
          </w:p>
        </w:tc>
        <w:tc>
          <w:tcPr>
            <w:tcW w:w="108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100.2</w:t>
            </w:r>
          </w:p>
        </w:tc>
        <w:tc>
          <w:tcPr>
            <w:tcW w:w="80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kern w:val="2"/>
                <w:sz w:val="21"/>
                <w:szCs w:val="21"/>
                <w:vertAlign w:val="baseline"/>
                <w:lang w:val="en-US" w:eastAsia="zh-CN" w:bidi="ar-SA"/>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exact"/>
          <w:jc w:val="center"/>
        </w:trPr>
        <w:tc>
          <w:tcPr>
            <w:tcW w:w="11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vertAlign w:val="baseline"/>
                <w:lang w:val="en-US" w:eastAsia="zh-CN"/>
              </w:rPr>
            </w:pPr>
          </w:p>
        </w:tc>
        <w:tc>
          <w:tcPr>
            <w:tcW w:w="116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p>
        </w:tc>
        <w:tc>
          <w:tcPr>
            <w:tcW w:w="1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color w:val="auto"/>
                <w:kern w:val="2"/>
                <w:sz w:val="21"/>
                <w:szCs w:val="21"/>
                <w:lang w:val="en-US" w:eastAsia="zh-CN" w:bidi="ar-SA"/>
              </w:rPr>
              <w:t>第三次</w:t>
            </w:r>
          </w:p>
        </w:tc>
        <w:tc>
          <w:tcPr>
            <w:tcW w:w="10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东北</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1.6</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22</w:t>
            </w:r>
          </w:p>
        </w:tc>
        <w:tc>
          <w:tcPr>
            <w:tcW w:w="108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99.9</w:t>
            </w:r>
          </w:p>
        </w:tc>
        <w:tc>
          <w:tcPr>
            <w:tcW w:w="80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exact"/>
          <w:jc w:val="center"/>
        </w:trPr>
        <w:tc>
          <w:tcPr>
            <w:tcW w:w="116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vertAlign w:val="baseline"/>
                <w:lang w:val="en-US" w:eastAsia="zh-CN"/>
              </w:rPr>
            </w:pPr>
          </w:p>
        </w:tc>
        <w:tc>
          <w:tcPr>
            <w:tcW w:w="116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p>
        </w:tc>
        <w:tc>
          <w:tcPr>
            <w:tcW w:w="12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color w:val="auto"/>
                <w:kern w:val="2"/>
                <w:sz w:val="21"/>
                <w:szCs w:val="21"/>
                <w:lang w:val="en-US" w:eastAsia="zh-CN" w:bidi="ar-SA"/>
              </w:rPr>
              <w:t>第四次</w:t>
            </w:r>
          </w:p>
        </w:tc>
        <w:tc>
          <w:tcPr>
            <w:tcW w:w="10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东北</w:t>
            </w:r>
          </w:p>
        </w:tc>
        <w:tc>
          <w:tcPr>
            <w:tcW w:w="10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1.6</w:t>
            </w:r>
          </w:p>
        </w:tc>
        <w:tc>
          <w:tcPr>
            <w:tcW w:w="8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19</w:t>
            </w:r>
          </w:p>
        </w:tc>
        <w:tc>
          <w:tcPr>
            <w:tcW w:w="108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100.8</w:t>
            </w:r>
          </w:p>
        </w:tc>
        <w:tc>
          <w:tcPr>
            <w:tcW w:w="80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10" w:firstLineChars="100"/>
              <w:jc w:val="both"/>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kern w:val="2"/>
                <w:sz w:val="21"/>
                <w:szCs w:val="21"/>
                <w:vertAlign w:val="baseline"/>
                <w:lang w:val="en-US" w:eastAsia="zh-CN" w:bidi="ar-SA"/>
              </w:rPr>
              <w:t>阴</w:t>
            </w:r>
          </w:p>
        </w:tc>
      </w:tr>
    </w:tbl>
    <w:p>
      <w:pPr>
        <w:spacing w:line="360" w:lineRule="auto"/>
        <w:ind w:firstLine="0" w:firstLineChars="0"/>
        <w:jc w:val="center"/>
        <w:rPr>
          <w:rFonts w:ascii="宋体" w:hAnsi="宋体" w:eastAsia="宋体" w:cs="宋体"/>
          <w:b w:val="0"/>
          <w:bCs w:val="0"/>
        </w:rPr>
      </w:pPr>
    </w:p>
    <w:p>
      <w:pPr>
        <w:pStyle w:val="4"/>
        <w:rPr>
          <w:rFonts w:hint="default" w:ascii="宋体" w:hAnsi="宋体" w:eastAsia="宋体" w:cs="宋体"/>
          <w:b w:val="0"/>
          <w:bCs/>
          <w:sz w:val="24"/>
          <w:szCs w:val="24"/>
          <w:lang w:val="en-US" w:eastAsia="zh-CN"/>
        </w:rPr>
      </w:pPr>
      <w:bookmarkStart w:id="143" w:name="_Toc29135"/>
      <w:bookmarkStart w:id="144" w:name="_Toc24727"/>
      <w:bookmarkStart w:id="145" w:name="_Toc30367"/>
      <w:bookmarkStart w:id="146" w:name="_Toc24933"/>
      <w:r>
        <w:rPr>
          <w:rFonts w:hint="eastAsia" w:ascii="宋体" w:hAnsi="宋体" w:eastAsia="宋体" w:cs="宋体"/>
          <w:b w:val="0"/>
          <w:bCs/>
          <w:sz w:val="24"/>
          <w:szCs w:val="24"/>
          <w:lang w:val="en-US" w:eastAsia="zh-CN"/>
        </w:rPr>
        <w:t>监测点位见下图</w:t>
      </w:r>
      <w:bookmarkEnd w:id="143"/>
      <w:bookmarkEnd w:id="144"/>
      <w:bookmarkEnd w:id="145"/>
    </w:p>
    <w:p>
      <w:pPr>
        <w:rPr>
          <w:rFonts w:hint="eastAsia" w:ascii="宋体" w:hAnsi="宋体" w:eastAsia="宋体" w:cs="宋体"/>
          <w:sz w:val="24"/>
          <w:szCs w:val="24"/>
          <w:lang w:eastAsia="zh-CN"/>
        </w:rPr>
      </w:pPr>
      <w:r>
        <w:rPr>
          <w:rFonts w:hint="eastAsia" w:ascii="宋体" w:hAnsi="宋体" w:eastAsia="宋体" w:cs="宋体"/>
          <w:sz w:val="24"/>
          <w:szCs w:val="24"/>
          <w:lang w:eastAsia="zh-CN"/>
        </w:rPr>
        <w:drawing>
          <wp:anchor distT="0" distB="0" distL="114300" distR="114300" simplePos="0" relativeHeight="251682816" behindDoc="0" locked="0" layoutInCell="1" allowOverlap="1">
            <wp:simplePos x="0" y="0"/>
            <wp:positionH relativeFrom="column">
              <wp:posOffset>153035</wp:posOffset>
            </wp:positionH>
            <wp:positionV relativeFrom="paragraph">
              <wp:posOffset>164465</wp:posOffset>
            </wp:positionV>
            <wp:extent cx="4532630" cy="4334510"/>
            <wp:effectExtent l="0" t="0" r="1270" b="8890"/>
            <wp:wrapNone/>
            <wp:docPr id="35" name="图片 35" descr="微信截图_2023101808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微信截图_20231018085351"/>
                    <pic:cNvPicPr>
                      <a:picLocks noChangeAspect="1"/>
                    </pic:cNvPicPr>
                  </pic:nvPicPr>
                  <pic:blipFill>
                    <a:blip r:embed="rId21"/>
                    <a:stretch>
                      <a:fillRect/>
                    </a:stretch>
                  </pic:blipFill>
                  <pic:spPr>
                    <a:xfrm>
                      <a:off x="0" y="0"/>
                      <a:ext cx="4532630" cy="4334510"/>
                    </a:xfrm>
                    <a:prstGeom prst="rect">
                      <a:avLst/>
                    </a:prstGeom>
                  </pic:spPr>
                </pic:pic>
              </a:graphicData>
            </a:graphic>
          </wp:anchor>
        </w:drawing>
      </w:r>
    </w:p>
    <w:p>
      <w:pPr>
        <w:rPr>
          <w:rFonts w:hint="eastAsia" w:ascii="宋体" w:hAnsi="宋体" w:eastAsia="宋体" w:cs="宋体"/>
          <w:sz w:val="24"/>
          <w:szCs w:val="24"/>
          <w:lang w:eastAsia="zh-CN"/>
        </w:rPr>
      </w:pPr>
    </w:p>
    <w:p>
      <w:pPr>
        <w:rPr>
          <w:rFonts w:hint="eastAsia" w:ascii="宋体" w:hAnsi="宋体" w:eastAsia="宋体" w:cs="宋体"/>
          <w:sz w:val="24"/>
          <w:szCs w:val="24"/>
        </w:rPr>
      </w:pPr>
    </w:p>
    <w:p>
      <w:pPr>
        <w:rPr>
          <w:rFonts w:hint="eastAsia" w:ascii="宋体" w:hAnsi="宋体" w:eastAsia="宋体" w:cs="宋体"/>
          <w:sz w:val="24"/>
          <w:szCs w:val="24"/>
        </w:rPr>
      </w:pPr>
    </w:p>
    <w:p>
      <w:pPr>
        <w:rPr>
          <w:rFonts w:hint="eastAsia" w:ascii="宋体" w:hAnsi="宋体" w:eastAsia="宋体" w:cs="宋体"/>
          <w:sz w:val="24"/>
          <w:szCs w:val="24"/>
        </w:rPr>
      </w:pPr>
    </w:p>
    <w:p>
      <w:pPr>
        <w:rPr>
          <w:rFonts w:hint="eastAsia" w:ascii="宋体" w:hAnsi="宋体" w:eastAsia="宋体" w:cs="宋体"/>
          <w:sz w:val="24"/>
          <w:szCs w:val="24"/>
        </w:rPr>
      </w:pPr>
    </w:p>
    <w:p>
      <w:pPr>
        <w:rPr>
          <w:rFonts w:hint="eastAsia" w:ascii="宋体" w:hAnsi="宋体" w:eastAsia="宋体" w:cs="宋体"/>
          <w:sz w:val="24"/>
          <w:szCs w:val="24"/>
        </w:rPr>
      </w:pPr>
    </w:p>
    <w:p>
      <w:pPr>
        <w:rPr>
          <w:rFonts w:hint="eastAsia" w:ascii="宋体" w:hAnsi="宋体" w:eastAsia="宋体" w:cs="宋体"/>
          <w:sz w:val="24"/>
          <w:szCs w:val="24"/>
        </w:rPr>
      </w:pPr>
    </w:p>
    <w:p>
      <w:pPr>
        <w:rPr>
          <w:rFonts w:hint="eastAsia" w:ascii="宋体" w:hAnsi="宋体" w:eastAsia="宋体" w:cs="宋体"/>
          <w:sz w:val="24"/>
          <w:szCs w:val="24"/>
        </w:rPr>
      </w:pPr>
    </w:p>
    <w:p>
      <w:pPr>
        <w:rPr>
          <w:rFonts w:hint="eastAsia" w:ascii="宋体" w:hAnsi="宋体" w:eastAsia="宋体" w:cs="宋体"/>
          <w:sz w:val="24"/>
          <w:szCs w:val="24"/>
        </w:rPr>
      </w:pPr>
    </w:p>
    <w:p>
      <w:pPr>
        <w:rPr>
          <w:rFonts w:hint="eastAsia" w:ascii="宋体" w:hAnsi="宋体" w:eastAsia="宋体" w:cs="宋体"/>
          <w:sz w:val="24"/>
          <w:szCs w:val="24"/>
        </w:rPr>
      </w:pPr>
    </w:p>
    <w:p>
      <w:pPr>
        <w:rPr>
          <w:rFonts w:hint="eastAsia" w:ascii="宋体" w:hAnsi="宋体" w:eastAsia="宋体" w:cs="宋体"/>
          <w:sz w:val="24"/>
          <w:szCs w:val="24"/>
        </w:rPr>
      </w:pPr>
    </w:p>
    <w:p>
      <w:pPr>
        <w:rPr>
          <w:rFonts w:hint="eastAsia" w:ascii="宋体" w:hAnsi="宋体" w:eastAsia="宋体" w:cs="宋体"/>
          <w:sz w:val="24"/>
          <w:szCs w:val="24"/>
        </w:rPr>
      </w:pPr>
    </w:p>
    <w:p>
      <w:pPr>
        <w:rPr>
          <w:rFonts w:hint="eastAsia" w:ascii="宋体" w:hAnsi="宋体" w:eastAsia="宋体" w:cs="宋体"/>
          <w:sz w:val="24"/>
          <w:szCs w:val="24"/>
        </w:rPr>
      </w:pPr>
    </w:p>
    <w:p>
      <w:pPr>
        <w:rPr>
          <w:rFonts w:hint="eastAsia" w:ascii="宋体" w:hAnsi="宋体" w:eastAsia="宋体" w:cs="宋体"/>
          <w:sz w:val="24"/>
          <w:szCs w:val="24"/>
        </w:rPr>
      </w:pPr>
    </w:p>
    <w:p>
      <w:pPr>
        <w:rPr>
          <w:rFonts w:hint="eastAsia" w:ascii="宋体" w:hAnsi="宋体" w:eastAsia="宋体" w:cs="宋体"/>
          <w:sz w:val="24"/>
          <w:szCs w:val="24"/>
        </w:rPr>
      </w:pPr>
    </w:p>
    <w:p>
      <w:pPr>
        <w:ind w:left="0" w:leftChars="0" w:firstLine="0" w:firstLineChars="0"/>
        <w:rPr>
          <w:rFonts w:hint="eastAsia" w:ascii="宋体" w:hAnsi="宋体" w:eastAsia="宋体" w:cs="宋体"/>
          <w:sz w:val="24"/>
          <w:szCs w:val="24"/>
        </w:rPr>
      </w:pPr>
    </w:p>
    <w:p>
      <w:pPr>
        <w:ind w:firstLine="1680" w:firstLineChars="700"/>
        <w:rPr>
          <w:rFonts w:hint="default" w:ascii="宋体" w:hAnsi="宋体" w:eastAsia="宋体" w:cs="宋体"/>
          <w:sz w:val="24"/>
          <w:szCs w:val="24"/>
          <w:lang w:val="en-US"/>
        </w:rPr>
      </w:pPr>
      <w:r>
        <w:rPr>
          <w:rFonts w:hint="eastAsia" w:ascii="宋体" w:hAnsi="宋体" w:eastAsia="宋体" w:cs="宋体"/>
          <w:b w:val="0"/>
          <w:bCs w:val="0"/>
          <w:sz w:val="24"/>
          <w:szCs w:val="24"/>
          <w:lang w:val="en-US" w:eastAsia="zh-CN"/>
        </w:rPr>
        <w:t>图6.6-1 监测点位示意图</w:t>
      </w:r>
    </w:p>
    <w:p>
      <w:pPr>
        <w:ind w:left="0" w:leftChars="0" w:firstLine="0" w:firstLineChars="0"/>
        <w:rPr>
          <w:rFonts w:hint="eastAsia" w:ascii="宋体" w:hAnsi="宋体" w:eastAsia="宋体" w:cs="宋体"/>
          <w:sz w:val="24"/>
          <w:szCs w:val="24"/>
        </w:rPr>
      </w:pPr>
    </w:p>
    <w:p>
      <w:pPr>
        <w:pStyle w:val="4"/>
        <w:spacing w:line="360" w:lineRule="auto"/>
        <w:rPr>
          <w:rFonts w:ascii="宋体" w:hAnsi="宋体" w:eastAsia="宋体" w:cs="宋体"/>
          <w:sz w:val="24"/>
          <w:szCs w:val="24"/>
        </w:rPr>
      </w:pPr>
      <w:bookmarkStart w:id="147" w:name="_Toc15772"/>
      <w:bookmarkStart w:id="148" w:name="_Toc17668"/>
      <w:bookmarkStart w:id="149" w:name="_Toc3730"/>
      <w:r>
        <w:rPr>
          <w:rFonts w:hint="eastAsia" w:ascii="宋体" w:hAnsi="宋体" w:eastAsia="宋体" w:cs="宋体"/>
          <w:sz w:val="24"/>
          <w:szCs w:val="24"/>
          <w:lang w:val="en-US" w:eastAsia="zh-CN"/>
        </w:rPr>
        <w:t>6.6.2</w:t>
      </w:r>
      <w:r>
        <w:rPr>
          <w:rFonts w:hint="eastAsia" w:ascii="宋体" w:hAnsi="宋体" w:eastAsia="宋体" w:cs="宋体"/>
          <w:sz w:val="24"/>
          <w:szCs w:val="24"/>
        </w:rPr>
        <w:t>污染物监测结果</w:t>
      </w:r>
      <w:bookmarkEnd w:id="146"/>
      <w:bookmarkEnd w:id="147"/>
      <w:bookmarkEnd w:id="148"/>
      <w:bookmarkEnd w:id="149"/>
    </w:p>
    <w:p>
      <w:pPr>
        <w:pStyle w:val="5"/>
        <w:spacing w:line="360" w:lineRule="auto"/>
        <w:rPr>
          <w:rFonts w:ascii="宋体" w:hAnsi="宋体" w:eastAsia="宋体" w:cs="宋体"/>
          <w:b w:val="0"/>
          <w:bCs/>
        </w:rPr>
      </w:pPr>
      <w:bookmarkStart w:id="150" w:name="_Toc22240"/>
      <w:bookmarkStart w:id="151" w:name="_Toc59001933"/>
      <w:r>
        <w:rPr>
          <w:rFonts w:hint="eastAsia" w:ascii="宋体" w:hAnsi="宋体" w:eastAsia="宋体" w:cs="宋体"/>
          <w:b w:val="0"/>
          <w:bCs/>
        </w:rPr>
        <w:t>①</w:t>
      </w:r>
      <w:r>
        <w:rPr>
          <w:rFonts w:hint="eastAsia" w:ascii="宋体" w:hAnsi="宋体" w:eastAsia="宋体" w:cs="宋体"/>
          <w:b w:val="0"/>
          <w:bCs/>
          <w:lang w:val="en-US" w:eastAsia="zh-CN"/>
        </w:rPr>
        <w:t xml:space="preserve"> </w:t>
      </w:r>
      <w:r>
        <w:rPr>
          <w:rFonts w:hint="eastAsia" w:ascii="宋体" w:hAnsi="宋体" w:eastAsia="宋体" w:cs="宋体"/>
          <w:b w:val="0"/>
          <w:bCs/>
        </w:rPr>
        <w:t>无组织废气监测结果</w:t>
      </w:r>
      <w:bookmarkEnd w:id="150"/>
      <w:bookmarkEnd w:id="151"/>
    </w:p>
    <w:p>
      <w:pPr>
        <w:spacing w:line="360" w:lineRule="auto"/>
        <w:ind w:firstLine="480"/>
        <w:rPr>
          <w:rFonts w:ascii="宋体" w:hAnsi="宋体" w:eastAsia="宋体" w:cs="宋体"/>
          <w:b/>
          <w:bCs/>
        </w:rPr>
      </w:pPr>
      <w:r>
        <w:rPr>
          <w:rFonts w:ascii="宋体" w:hAnsi="宋体" w:eastAsia="宋体" w:cs="宋体"/>
        </w:rPr>
        <w:t>20</w:t>
      </w:r>
      <w:r>
        <w:rPr>
          <w:rFonts w:hint="eastAsia" w:ascii="宋体" w:hAnsi="宋体" w:eastAsia="宋体" w:cs="宋体"/>
          <w:lang w:val="en-US" w:eastAsia="zh-CN"/>
        </w:rPr>
        <w:t>23</w:t>
      </w:r>
      <w:r>
        <w:rPr>
          <w:rFonts w:hint="eastAsia" w:ascii="宋体" w:hAnsi="宋体" w:eastAsia="宋体" w:cs="宋体"/>
        </w:rPr>
        <w:t>年</w:t>
      </w:r>
      <w:r>
        <w:rPr>
          <w:rFonts w:hint="eastAsia" w:ascii="宋体" w:hAnsi="宋体" w:eastAsia="宋体" w:cs="宋体"/>
          <w:lang w:val="en-US" w:eastAsia="zh-CN"/>
        </w:rPr>
        <w:t>10</w:t>
      </w:r>
      <w:r>
        <w:rPr>
          <w:rFonts w:hint="eastAsia" w:ascii="宋体" w:hAnsi="宋体" w:eastAsia="宋体" w:cs="宋体"/>
        </w:rPr>
        <w:t>月</w:t>
      </w:r>
      <w:r>
        <w:rPr>
          <w:rFonts w:hint="eastAsia" w:ascii="宋体" w:hAnsi="宋体" w:eastAsia="宋体" w:cs="宋体"/>
          <w:lang w:val="en-US" w:eastAsia="zh-CN"/>
        </w:rPr>
        <w:t>10</w:t>
      </w:r>
      <w:r>
        <w:rPr>
          <w:rFonts w:hint="eastAsia" w:ascii="宋体" w:hAnsi="宋体" w:eastAsia="宋体" w:cs="宋体"/>
        </w:rPr>
        <w:t>日～</w:t>
      </w:r>
      <w:r>
        <w:rPr>
          <w:rFonts w:hint="eastAsia" w:ascii="宋体" w:hAnsi="宋体" w:eastAsia="宋体" w:cs="宋体"/>
          <w:lang w:val="en-US" w:eastAsia="zh-CN"/>
        </w:rPr>
        <w:t xml:space="preserve"> 10</w:t>
      </w:r>
      <w:r>
        <w:rPr>
          <w:rFonts w:hint="eastAsia" w:ascii="宋体" w:hAnsi="宋体" w:eastAsia="宋体" w:cs="宋体"/>
        </w:rPr>
        <w:t>月</w:t>
      </w:r>
      <w:r>
        <w:rPr>
          <w:rFonts w:hint="eastAsia" w:ascii="宋体" w:hAnsi="宋体" w:eastAsia="宋体" w:cs="宋体"/>
          <w:lang w:val="en-US" w:eastAsia="zh-CN"/>
        </w:rPr>
        <w:t>11</w:t>
      </w:r>
      <w:r>
        <w:rPr>
          <w:rFonts w:hint="eastAsia" w:ascii="宋体" w:hAnsi="宋体" w:eastAsia="宋体" w:cs="宋体"/>
        </w:rPr>
        <w:t>日对</w:t>
      </w:r>
      <w:r>
        <w:rPr>
          <w:rFonts w:hint="eastAsia" w:ascii="宋体" w:hAnsi="宋体" w:eastAsia="宋体" w:cs="宋体"/>
          <w:lang w:val="en-US" w:eastAsia="zh-CN"/>
        </w:rPr>
        <w:t>该</w:t>
      </w:r>
      <w:r>
        <w:rPr>
          <w:rFonts w:hint="eastAsia" w:ascii="宋体" w:hAnsi="宋体" w:eastAsia="宋体" w:cs="宋体"/>
        </w:rPr>
        <w:t>项目</w:t>
      </w:r>
      <w:r>
        <w:rPr>
          <w:rFonts w:hint="eastAsia" w:ascii="宋体" w:hAnsi="宋体" w:eastAsia="宋体" w:cs="宋体"/>
          <w:lang w:val="en-US" w:eastAsia="zh-CN"/>
        </w:rPr>
        <w:t>的</w:t>
      </w:r>
      <w:r>
        <w:rPr>
          <w:rFonts w:hint="eastAsia" w:ascii="宋体" w:hAnsi="宋体" w:eastAsia="宋体" w:cs="宋体"/>
        </w:rPr>
        <w:t>无组织废气污染物排放进行了连续2天监测，监测点位为厂界上风向</w:t>
      </w:r>
      <w:r>
        <w:rPr>
          <w:rFonts w:ascii="宋体" w:hAnsi="宋体" w:eastAsia="宋体" w:cs="宋体"/>
        </w:rPr>
        <w:t>、下风向</w:t>
      </w:r>
      <w:r>
        <w:rPr>
          <w:rFonts w:hint="eastAsia" w:ascii="宋体" w:hAnsi="宋体" w:eastAsia="宋体" w:cs="宋体"/>
        </w:rPr>
        <w:t>1、</w:t>
      </w:r>
      <w:r>
        <w:rPr>
          <w:rFonts w:ascii="宋体" w:hAnsi="宋体" w:eastAsia="宋体" w:cs="宋体"/>
        </w:rPr>
        <w:t>下风向</w:t>
      </w:r>
      <w:r>
        <w:rPr>
          <w:rFonts w:hint="eastAsia" w:ascii="宋体" w:hAnsi="宋体" w:eastAsia="宋体" w:cs="宋体"/>
        </w:rPr>
        <w:t>2和</w:t>
      </w:r>
      <w:r>
        <w:rPr>
          <w:rFonts w:ascii="宋体" w:hAnsi="宋体" w:eastAsia="宋体" w:cs="宋体"/>
        </w:rPr>
        <w:t>下风向</w:t>
      </w:r>
      <w:r>
        <w:rPr>
          <w:rFonts w:hint="eastAsia" w:ascii="宋体" w:hAnsi="宋体" w:eastAsia="宋体" w:cs="宋体"/>
        </w:rPr>
        <w:t>3。无组织废气监测结果详见下表。</w:t>
      </w:r>
    </w:p>
    <w:p>
      <w:pPr>
        <w:spacing w:line="360" w:lineRule="auto"/>
        <w:ind w:firstLine="0" w:firstLineChars="0"/>
        <w:jc w:val="center"/>
        <w:rPr>
          <w:rFonts w:hint="default" w:ascii="Times New Roman" w:hAnsi="Times New Roman" w:eastAsia="楷体" w:cs="Times New Roman"/>
          <w:sz w:val="24"/>
          <w:lang w:val="en-US" w:eastAsia="zh-CN"/>
        </w:rPr>
      </w:pPr>
      <w:r>
        <w:rPr>
          <w:rFonts w:hint="eastAsia" w:ascii="宋体" w:hAnsi="宋体" w:eastAsia="宋体" w:cs="宋体"/>
          <w:b w:val="0"/>
          <w:bCs w:val="0"/>
        </w:rPr>
        <w:t>表</w:t>
      </w:r>
      <w:r>
        <w:rPr>
          <w:rFonts w:hint="eastAsia" w:ascii="宋体" w:hAnsi="宋体" w:eastAsia="宋体" w:cs="宋体"/>
          <w:b w:val="0"/>
          <w:bCs w:val="0"/>
          <w:lang w:val="en-US" w:eastAsia="zh-CN"/>
        </w:rPr>
        <w:t>6.6</w:t>
      </w:r>
      <w:r>
        <w:rPr>
          <w:rFonts w:hint="eastAsia" w:ascii="宋体" w:hAnsi="宋体" w:eastAsia="宋体" w:cs="宋体"/>
          <w:b w:val="0"/>
          <w:bCs w:val="0"/>
        </w:rPr>
        <w:t>-3 厂界无组织废气监测结果</w:t>
      </w:r>
    </w:p>
    <w:tbl>
      <w:tblPr>
        <w:tblStyle w:val="24"/>
        <w:tblW w:w="83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1205"/>
        <w:gridCol w:w="1149"/>
        <w:gridCol w:w="1305"/>
        <w:gridCol w:w="1170"/>
        <w:gridCol w:w="1140"/>
        <w:gridCol w:w="1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exact"/>
          <w:jc w:val="center"/>
        </w:trPr>
        <w:tc>
          <w:tcPr>
            <w:tcW w:w="1172" w:type="dxa"/>
            <w:noWrap w:val="0"/>
            <w:vAlign w:val="center"/>
          </w:tcPr>
          <w:p>
            <w:pPr>
              <w:ind w:left="0" w:leftChars="0" w:firstLine="0" w:firstLineChars="0"/>
              <w:jc w:val="both"/>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采样日期</w:t>
            </w:r>
          </w:p>
        </w:tc>
        <w:tc>
          <w:tcPr>
            <w:tcW w:w="2354" w:type="dxa"/>
            <w:gridSpan w:val="2"/>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采样点位</w:t>
            </w:r>
          </w:p>
        </w:tc>
        <w:tc>
          <w:tcPr>
            <w:tcW w:w="1305" w:type="dxa"/>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总悬浮颗粒物</w:t>
            </w:r>
            <w:r>
              <w:rPr>
                <w:rFonts w:hint="eastAsia" w:asciiTheme="minorEastAsia" w:hAnsiTheme="minorEastAsia" w:eastAsiaTheme="minorEastAsia" w:cstheme="minorEastAsia"/>
                <w:sz w:val="21"/>
                <w:szCs w:val="21"/>
                <w:vertAlign w:val="baseline"/>
                <w:lang w:val="en-US" w:eastAsia="zh-CN"/>
              </w:rPr>
              <w:t>（μg/m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w:t>
            </w:r>
          </w:p>
        </w:tc>
        <w:tc>
          <w:tcPr>
            <w:tcW w:w="1170"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氨</w:t>
            </w:r>
            <w:r>
              <w:rPr>
                <w:rFonts w:hint="eastAsia" w:asciiTheme="minorEastAsia" w:hAnsiTheme="minorEastAsia" w:eastAsiaTheme="minorEastAsia" w:cstheme="minorEastAsia"/>
                <w:sz w:val="21"/>
                <w:szCs w:val="21"/>
                <w:vertAlign w:val="baseline"/>
                <w:lang w:val="en-US" w:eastAsia="zh-CN"/>
              </w:rPr>
              <w:t>（mg/m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w:t>
            </w:r>
          </w:p>
        </w:tc>
        <w:tc>
          <w:tcPr>
            <w:tcW w:w="1140" w:type="dxa"/>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硫化氢</w:t>
            </w:r>
            <w:r>
              <w:rPr>
                <w:rFonts w:hint="eastAsia" w:asciiTheme="minorEastAsia" w:hAnsiTheme="minorEastAsia" w:eastAsiaTheme="minorEastAsia" w:cstheme="minorEastAsia"/>
                <w:sz w:val="21"/>
                <w:szCs w:val="21"/>
                <w:vertAlign w:val="baseline"/>
                <w:lang w:val="en-US" w:eastAsia="zh-CN"/>
              </w:rPr>
              <w:t>（mg/m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w:t>
            </w:r>
          </w:p>
        </w:tc>
        <w:tc>
          <w:tcPr>
            <w:tcW w:w="1256" w:type="dxa"/>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臭气浓度（无量纲）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restart"/>
            <w:noWrap w:val="0"/>
            <w:vAlign w:val="center"/>
          </w:tcPr>
          <w:p>
            <w:pPr>
              <w:ind w:left="0" w:leftChars="0" w:firstLine="0" w:firstLineChars="0"/>
              <w:jc w:val="both"/>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10月10日</w:t>
            </w:r>
          </w:p>
        </w:tc>
        <w:tc>
          <w:tcPr>
            <w:tcW w:w="1205" w:type="dxa"/>
            <w:vMerge w:val="restart"/>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1#厂界东</w:t>
            </w: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第一次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161</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0.05</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0.002</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05"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第二次</w:t>
            </w:r>
          </w:p>
        </w:tc>
        <w:tc>
          <w:tcPr>
            <w:tcW w:w="1305"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166</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0.05</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0.001</w:t>
            </w:r>
          </w:p>
        </w:tc>
        <w:tc>
          <w:tcPr>
            <w:tcW w:w="1256"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205"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第三次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157</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0.04</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0.001</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205"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第四次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158</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0.04</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0.002</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vertAlign w:val="baseline"/>
                <w:lang w:val="en-US" w:eastAsia="zh-CN"/>
              </w:rPr>
            </w:pPr>
          </w:p>
        </w:tc>
        <w:tc>
          <w:tcPr>
            <w:tcW w:w="1205" w:type="dxa"/>
            <w:vMerge w:val="restart"/>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2#厂界南</w:t>
            </w: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第一次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158</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0.06</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&lt;0.001</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205"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kern w:val="2"/>
                <w:sz w:val="21"/>
                <w:szCs w:val="21"/>
                <w:lang w:val="en-US" w:eastAsia="zh-CN" w:bidi="ar-SA"/>
              </w:rPr>
              <w:t>第二次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160</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0.05</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0.001</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205"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第三次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157</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0.05</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0.001</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205"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第四次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160</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0.05</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0.001</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205" w:type="dxa"/>
            <w:vMerge w:val="restart"/>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3#厂界西</w:t>
            </w: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第一次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234</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0.03</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&lt;0.001</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205"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kern w:val="2"/>
                <w:sz w:val="21"/>
                <w:szCs w:val="21"/>
                <w:lang w:val="en-US" w:eastAsia="zh-CN" w:bidi="ar-SA"/>
              </w:rPr>
              <w:t>第二次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204</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0.04</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0.001</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205"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第三次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213</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0.04</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0.001</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205"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第四次</w:t>
            </w:r>
          </w:p>
        </w:tc>
        <w:tc>
          <w:tcPr>
            <w:tcW w:w="1305"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204</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0.04</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0.001</w:t>
            </w:r>
          </w:p>
        </w:tc>
        <w:tc>
          <w:tcPr>
            <w:tcW w:w="1256"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05" w:type="dxa"/>
            <w:vMerge w:val="restart"/>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4#厂界北</w:t>
            </w: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第一次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192</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0.04</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0.002</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05"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kern w:val="2"/>
                <w:sz w:val="21"/>
                <w:szCs w:val="21"/>
                <w:lang w:val="en-US" w:eastAsia="zh-CN" w:bidi="ar-SA"/>
              </w:rPr>
              <w:t>第二次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183</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0.04</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0.001</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p>
        </w:tc>
        <w:tc>
          <w:tcPr>
            <w:tcW w:w="1205"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第三次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205</w:t>
            </w:r>
          </w:p>
        </w:tc>
        <w:tc>
          <w:tcPr>
            <w:tcW w:w="1170" w:type="dxa"/>
            <w:noWrap w:val="0"/>
            <w:vAlign w:val="center"/>
          </w:tcPr>
          <w:p>
            <w:pPr>
              <w:jc w:val="center"/>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0.04</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0.002</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172"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05"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第四次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232</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0.04</w:t>
            </w:r>
          </w:p>
        </w:tc>
        <w:tc>
          <w:tcPr>
            <w:tcW w:w="114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0.001</w:t>
            </w:r>
          </w:p>
        </w:tc>
        <w:tc>
          <w:tcPr>
            <w:tcW w:w="1256"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16</w:t>
            </w:r>
          </w:p>
        </w:tc>
      </w:tr>
    </w:tbl>
    <w:p>
      <w:pPr>
        <w:ind w:left="0" w:leftChars="0" w:firstLine="0" w:firstLineChars="0"/>
        <w:jc w:val="both"/>
        <w:rPr>
          <w:rFonts w:hint="default" w:ascii="Times New Roman" w:hAnsi="Times New Roman" w:eastAsia="楷体" w:cs="Times New Roman"/>
          <w:sz w:val="24"/>
          <w:szCs w:val="22"/>
          <w:lang w:eastAsia="zh-CN"/>
        </w:rPr>
      </w:pPr>
      <w:bookmarkStart w:id="152" w:name="_Toc17451"/>
      <w:bookmarkStart w:id="153" w:name="_Toc59001934"/>
    </w:p>
    <w:p>
      <w:pPr>
        <w:jc w:val="center"/>
        <w:rPr>
          <w:rFonts w:hint="eastAsia" w:asciiTheme="minorEastAsia" w:hAnsiTheme="minorEastAsia" w:eastAsiaTheme="minorEastAsia" w:cstheme="minorEastAsia"/>
          <w:sz w:val="24"/>
          <w:szCs w:val="22"/>
          <w:lang w:val="en-US" w:eastAsia="zh-CN"/>
        </w:rPr>
      </w:pPr>
      <w:r>
        <w:rPr>
          <w:rFonts w:hint="eastAsia" w:asciiTheme="minorEastAsia" w:hAnsiTheme="minorEastAsia" w:eastAsiaTheme="minorEastAsia" w:cstheme="minorEastAsia"/>
          <w:sz w:val="24"/>
          <w:szCs w:val="22"/>
          <w:lang w:eastAsia="zh-CN"/>
        </w:rPr>
        <w:t>表</w:t>
      </w:r>
      <w:r>
        <w:rPr>
          <w:rFonts w:hint="eastAsia" w:asciiTheme="minorEastAsia" w:hAnsiTheme="minorEastAsia" w:eastAsiaTheme="minorEastAsia" w:cstheme="minorEastAsia"/>
          <w:sz w:val="24"/>
          <w:szCs w:val="22"/>
          <w:lang w:val="en-US" w:eastAsia="zh-CN"/>
        </w:rPr>
        <w:t>1（续）</w:t>
      </w:r>
    </w:p>
    <w:tbl>
      <w:tblPr>
        <w:tblStyle w:val="24"/>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1"/>
        <w:gridCol w:w="1227"/>
        <w:gridCol w:w="1149"/>
        <w:gridCol w:w="1305"/>
        <w:gridCol w:w="1170"/>
        <w:gridCol w:w="1140"/>
        <w:gridCol w:w="11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exact"/>
          <w:jc w:val="center"/>
        </w:trPr>
        <w:tc>
          <w:tcPr>
            <w:tcW w:w="1251" w:type="dxa"/>
            <w:noWrap w:val="0"/>
            <w:vAlign w:val="center"/>
          </w:tcPr>
          <w:p>
            <w:pPr>
              <w:ind w:left="0" w:leftChars="0" w:firstLine="0" w:firstLineChars="0"/>
              <w:jc w:val="both"/>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采样日期</w:t>
            </w:r>
          </w:p>
        </w:tc>
        <w:tc>
          <w:tcPr>
            <w:tcW w:w="2376" w:type="dxa"/>
            <w:gridSpan w:val="2"/>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采样点位</w:t>
            </w:r>
          </w:p>
        </w:tc>
        <w:tc>
          <w:tcPr>
            <w:tcW w:w="1305" w:type="dxa"/>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总悬浮颗粒物</w:t>
            </w:r>
            <w:r>
              <w:rPr>
                <w:rFonts w:hint="eastAsia" w:asciiTheme="minorEastAsia" w:hAnsiTheme="minorEastAsia" w:eastAsiaTheme="minorEastAsia" w:cstheme="minorEastAsia"/>
                <w:sz w:val="21"/>
                <w:szCs w:val="21"/>
                <w:vertAlign w:val="baseline"/>
                <w:lang w:val="en-US" w:eastAsia="zh-CN"/>
              </w:rPr>
              <w:t>（μg/m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w:t>
            </w:r>
          </w:p>
        </w:tc>
        <w:tc>
          <w:tcPr>
            <w:tcW w:w="1170"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氨</w:t>
            </w:r>
            <w:r>
              <w:rPr>
                <w:rFonts w:hint="eastAsia" w:asciiTheme="minorEastAsia" w:hAnsiTheme="minorEastAsia" w:eastAsiaTheme="minorEastAsia" w:cstheme="minorEastAsia"/>
                <w:sz w:val="21"/>
                <w:szCs w:val="21"/>
                <w:vertAlign w:val="baseline"/>
                <w:lang w:val="en-US" w:eastAsia="zh-CN"/>
              </w:rPr>
              <w:t>（mg/m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w:t>
            </w:r>
          </w:p>
        </w:tc>
        <w:tc>
          <w:tcPr>
            <w:tcW w:w="1140" w:type="dxa"/>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硫化氢</w:t>
            </w:r>
            <w:r>
              <w:rPr>
                <w:rFonts w:hint="eastAsia" w:asciiTheme="minorEastAsia" w:hAnsiTheme="minorEastAsia" w:eastAsiaTheme="minorEastAsia" w:cstheme="minorEastAsia"/>
                <w:sz w:val="21"/>
                <w:szCs w:val="21"/>
                <w:vertAlign w:val="baseline"/>
                <w:lang w:val="en-US" w:eastAsia="zh-CN"/>
              </w:rPr>
              <w:t>（mg/m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w:t>
            </w:r>
          </w:p>
        </w:tc>
        <w:tc>
          <w:tcPr>
            <w:tcW w:w="1194" w:type="dxa"/>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臭气浓度（无量纲）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restart"/>
            <w:noWrap w:val="0"/>
            <w:vAlign w:val="center"/>
          </w:tcPr>
          <w:p>
            <w:pPr>
              <w:ind w:left="0" w:leftChars="0" w:firstLine="0" w:firstLineChars="0"/>
              <w:jc w:val="both"/>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10月11日</w:t>
            </w:r>
          </w:p>
        </w:tc>
        <w:tc>
          <w:tcPr>
            <w:tcW w:w="1227" w:type="dxa"/>
            <w:vMerge w:val="restart"/>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1#厂界东</w:t>
            </w: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第一次</w:t>
            </w:r>
          </w:p>
        </w:tc>
        <w:tc>
          <w:tcPr>
            <w:tcW w:w="1305"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163</w:t>
            </w:r>
          </w:p>
        </w:tc>
        <w:tc>
          <w:tcPr>
            <w:tcW w:w="1170"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0.06</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0.001</w:t>
            </w:r>
          </w:p>
        </w:tc>
        <w:tc>
          <w:tcPr>
            <w:tcW w:w="1194"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27"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第二次</w:t>
            </w:r>
          </w:p>
        </w:tc>
        <w:tc>
          <w:tcPr>
            <w:tcW w:w="1305"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155</w:t>
            </w:r>
          </w:p>
        </w:tc>
        <w:tc>
          <w:tcPr>
            <w:tcW w:w="1170"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0.05</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0.001</w:t>
            </w:r>
          </w:p>
        </w:tc>
        <w:tc>
          <w:tcPr>
            <w:tcW w:w="1194"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27"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第三次</w:t>
            </w:r>
          </w:p>
        </w:tc>
        <w:tc>
          <w:tcPr>
            <w:tcW w:w="1305"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158</w:t>
            </w:r>
          </w:p>
        </w:tc>
        <w:tc>
          <w:tcPr>
            <w:tcW w:w="1170"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0.05</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&lt;0.001</w:t>
            </w:r>
          </w:p>
        </w:tc>
        <w:tc>
          <w:tcPr>
            <w:tcW w:w="1194" w:type="dxa"/>
            <w:noWrap w:val="0"/>
            <w:vAlign w:val="center"/>
          </w:tcPr>
          <w:p>
            <w:pPr>
              <w:ind w:left="0" w:leftChars="0" w:firstLine="420" w:firstLineChars="20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27"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第四次</w:t>
            </w:r>
          </w:p>
        </w:tc>
        <w:tc>
          <w:tcPr>
            <w:tcW w:w="1305"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161</w:t>
            </w:r>
          </w:p>
        </w:tc>
        <w:tc>
          <w:tcPr>
            <w:tcW w:w="1170"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0.06</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&lt;0.001</w:t>
            </w:r>
          </w:p>
        </w:tc>
        <w:tc>
          <w:tcPr>
            <w:tcW w:w="1194"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227" w:type="dxa"/>
            <w:vMerge w:val="restart"/>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2#厂界南</w:t>
            </w: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第一次</w:t>
            </w:r>
          </w:p>
        </w:tc>
        <w:tc>
          <w:tcPr>
            <w:tcW w:w="1305"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219</w:t>
            </w:r>
          </w:p>
        </w:tc>
        <w:tc>
          <w:tcPr>
            <w:tcW w:w="1170"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0.05</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0.002</w:t>
            </w:r>
          </w:p>
        </w:tc>
        <w:tc>
          <w:tcPr>
            <w:tcW w:w="1194"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227"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第二次</w:t>
            </w:r>
          </w:p>
        </w:tc>
        <w:tc>
          <w:tcPr>
            <w:tcW w:w="1305" w:type="dxa"/>
            <w:noWrap w:val="0"/>
            <w:vAlign w:val="center"/>
          </w:tcPr>
          <w:p>
            <w:pPr>
              <w:jc w:val="both"/>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190</w:t>
            </w:r>
          </w:p>
        </w:tc>
        <w:tc>
          <w:tcPr>
            <w:tcW w:w="1170" w:type="dxa"/>
            <w:noWrap w:val="0"/>
            <w:vAlign w:val="center"/>
          </w:tcPr>
          <w:p>
            <w:pPr>
              <w:jc w:val="both"/>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0.05</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0.001</w:t>
            </w:r>
          </w:p>
        </w:tc>
        <w:tc>
          <w:tcPr>
            <w:tcW w:w="1194" w:type="dxa"/>
            <w:noWrap w:val="0"/>
            <w:vAlign w:val="center"/>
          </w:tcPr>
          <w:p>
            <w:pPr>
              <w:jc w:val="both"/>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27"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第三次</w:t>
            </w:r>
          </w:p>
        </w:tc>
        <w:tc>
          <w:tcPr>
            <w:tcW w:w="1305"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195</w:t>
            </w:r>
          </w:p>
        </w:tc>
        <w:tc>
          <w:tcPr>
            <w:tcW w:w="1170"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0.04</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0.001</w:t>
            </w:r>
          </w:p>
        </w:tc>
        <w:tc>
          <w:tcPr>
            <w:tcW w:w="1194"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27"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第四次</w:t>
            </w:r>
          </w:p>
        </w:tc>
        <w:tc>
          <w:tcPr>
            <w:tcW w:w="1305"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189</w:t>
            </w:r>
          </w:p>
        </w:tc>
        <w:tc>
          <w:tcPr>
            <w:tcW w:w="1170"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0.05</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0.001</w:t>
            </w:r>
          </w:p>
        </w:tc>
        <w:tc>
          <w:tcPr>
            <w:tcW w:w="1194" w:type="dxa"/>
            <w:noWrap w:val="0"/>
            <w:vAlign w:val="center"/>
          </w:tcPr>
          <w:p>
            <w:pPr>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p>
        </w:tc>
        <w:tc>
          <w:tcPr>
            <w:tcW w:w="1227" w:type="dxa"/>
            <w:vMerge w:val="restart"/>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3#厂界西</w:t>
            </w: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第一次</w:t>
            </w:r>
          </w:p>
        </w:tc>
        <w:tc>
          <w:tcPr>
            <w:tcW w:w="1305"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211</w:t>
            </w:r>
          </w:p>
        </w:tc>
        <w:tc>
          <w:tcPr>
            <w:tcW w:w="117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0.07</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&lt;0.001</w:t>
            </w:r>
          </w:p>
        </w:tc>
        <w:tc>
          <w:tcPr>
            <w:tcW w:w="1194"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27"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第二次</w:t>
            </w:r>
          </w:p>
        </w:tc>
        <w:tc>
          <w:tcPr>
            <w:tcW w:w="1305"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216</w:t>
            </w:r>
          </w:p>
        </w:tc>
        <w:tc>
          <w:tcPr>
            <w:tcW w:w="117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0.07</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0.001</w:t>
            </w:r>
          </w:p>
        </w:tc>
        <w:tc>
          <w:tcPr>
            <w:tcW w:w="1194"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27"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第三次</w:t>
            </w:r>
          </w:p>
        </w:tc>
        <w:tc>
          <w:tcPr>
            <w:tcW w:w="1305"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192</w:t>
            </w:r>
          </w:p>
        </w:tc>
        <w:tc>
          <w:tcPr>
            <w:tcW w:w="117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0.06</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0.001</w:t>
            </w:r>
          </w:p>
        </w:tc>
        <w:tc>
          <w:tcPr>
            <w:tcW w:w="1194"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27"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第四次</w:t>
            </w:r>
          </w:p>
        </w:tc>
        <w:tc>
          <w:tcPr>
            <w:tcW w:w="1305"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189</w:t>
            </w:r>
          </w:p>
        </w:tc>
        <w:tc>
          <w:tcPr>
            <w:tcW w:w="117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0.06</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0.001</w:t>
            </w:r>
          </w:p>
        </w:tc>
        <w:tc>
          <w:tcPr>
            <w:tcW w:w="1194"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27" w:type="dxa"/>
            <w:vMerge w:val="restart"/>
            <w:noWrap w:val="0"/>
            <w:vAlign w:val="center"/>
          </w:tcPr>
          <w:p>
            <w:pPr>
              <w:ind w:left="0" w:leftChars="0" w:firstLine="0" w:firstLineChars="0"/>
              <w:jc w:val="both"/>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4#厂界北</w:t>
            </w: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第一次</w:t>
            </w:r>
          </w:p>
        </w:tc>
        <w:tc>
          <w:tcPr>
            <w:tcW w:w="1305"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160</w:t>
            </w:r>
          </w:p>
        </w:tc>
        <w:tc>
          <w:tcPr>
            <w:tcW w:w="117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0.05</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0.001</w:t>
            </w:r>
          </w:p>
        </w:tc>
        <w:tc>
          <w:tcPr>
            <w:tcW w:w="1194"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227"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第二次</w:t>
            </w:r>
          </w:p>
        </w:tc>
        <w:tc>
          <w:tcPr>
            <w:tcW w:w="1305"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163</w:t>
            </w:r>
          </w:p>
        </w:tc>
        <w:tc>
          <w:tcPr>
            <w:tcW w:w="1170"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0.05</w:t>
            </w:r>
          </w:p>
        </w:tc>
        <w:tc>
          <w:tcPr>
            <w:tcW w:w="1140" w:type="dxa"/>
            <w:noWrap w:val="0"/>
            <w:vAlign w:val="center"/>
          </w:tcPr>
          <w:p>
            <w:pPr>
              <w:jc w:val="center"/>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0.002</w:t>
            </w:r>
          </w:p>
        </w:tc>
        <w:tc>
          <w:tcPr>
            <w:tcW w:w="1194" w:type="dxa"/>
            <w:noWrap w:val="0"/>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exact"/>
          <w:jc w:val="center"/>
        </w:trPr>
        <w:tc>
          <w:tcPr>
            <w:tcW w:w="1251"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227" w:type="dxa"/>
            <w:vMerge w:val="continue"/>
            <w:noWrap w:val="0"/>
            <w:vAlign w:val="center"/>
          </w:tcPr>
          <w:p>
            <w:pPr>
              <w:jc w:val="center"/>
              <w:rPr>
                <w:rFonts w:hint="eastAsia" w:asciiTheme="minorEastAsia" w:hAnsiTheme="minorEastAsia" w:eastAsiaTheme="minorEastAsia" w:cstheme="minorEastAsia"/>
                <w:sz w:val="21"/>
                <w:szCs w:val="21"/>
                <w:vertAlign w:val="baseline"/>
                <w:lang w:val="en-US" w:eastAsia="zh-CN"/>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第三次</w:t>
            </w:r>
          </w:p>
        </w:tc>
        <w:tc>
          <w:tcPr>
            <w:tcW w:w="1305"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166</w:t>
            </w:r>
          </w:p>
        </w:tc>
        <w:tc>
          <w:tcPr>
            <w:tcW w:w="1170" w:type="dxa"/>
            <w:noWrap w:val="0"/>
            <w:vAlign w:val="center"/>
          </w:tcPr>
          <w:p>
            <w:p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0.04</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0.001</w:t>
            </w:r>
          </w:p>
        </w:tc>
        <w:tc>
          <w:tcPr>
            <w:tcW w:w="1194" w:type="dxa"/>
            <w:noWrap w:val="0"/>
            <w:vAlign w:val="center"/>
          </w:tcPr>
          <w:p>
            <w:p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exact"/>
          <w:jc w:val="center"/>
        </w:trPr>
        <w:tc>
          <w:tcPr>
            <w:tcW w:w="1251" w:type="dxa"/>
            <w:vMerge w:val="continue"/>
            <w:noWrap w:val="0"/>
            <w:vAlign w:val="center"/>
          </w:tcPr>
          <w:p>
            <w:pPr>
              <w:jc w:val="center"/>
              <w:rPr>
                <w:rFonts w:hint="eastAsia" w:asciiTheme="minorEastAsia" w:hAnsiTheme="minorEastAsia" w:eastAsiaTheme="minorEastAsia" w:cstheme="minorEastAsia"/>
                <w:sz w:val="21"/>
                <w:szCs w:val="21"/>
                <w:lang w:val="en-US" w:eastAsia="zh-CN"/>
              </w:rPr>
            </w:pPr>
          </w:p>
        </w:tc>
        <w:tc>
          <w:tcPr>
            <w:tcW w:w="1227" w:type="dxa"/>
            <w:vMerge w:val="continue"/>
            <w:noWrap w:val="0"/>
            <w:vAlign w:val="center"/>
          </w:tcPr>
          <w:p>
            <w:pPr>
              <w:jc w:val="center"/>
              <w:rPr>
                <w:rFonts w:hint="eastAsia" w:asciiTheme="minorEastAsia" w:hAnsiTheme="minorEastAsia" w:eastAsiaTheme="minorEastAsia" w:cstheme="minorEastAsia"/>
                <w:kern w:val="2"/>
                <w:sz w:val="21"/>
                <w:szCs w:val="21"/>
                <w:lang w:val="en-US" w:eastAsia="zh-CN" w:bidi="ar-SA"/>
              </w:rPr>
            </w:pPr>
          </w:p>
        </w:tc>
        <w:tc>
          <w:tcPr>
            <w:tcW w:w="1149"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val="en-US" w:eastAsia="zh-CN"/>
              </w:rPr>
              <w:t>第四次</w:t>
            </w:r>
          </w:p>
        </w:tc>
        <w:tc>
          <w:tcPr>
            <w:tcW w:w="1305" w:type="dxa"/>
            <w:noWrap w:val="0"/>
            <w:vAlign w:val="center"/>
          </w:tcPr>
          <w:p>
            <w:pPr>
              <w:jc w:val="center"/>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163</w:t>
            </w:r>
          </w:p>
        </w:tc>
        <w:tc>
          <w:tcPr>
            <w:tcW w:w="117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0.05</w:t>
            </w:r>
          </w:p>
        </w:tc>
        <w:tc>
          <w:tcPr>
            <w:tcW w:w="1140"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0.001</w:t>
            </w:r>
          </w:p>
        </w:tc>
        <w:tc>
          <w:tcPr>
            <w:tcW w:w="1194"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12</w:t>
            </w:r>
          </w:p>
        </w:tc>
      </w:tr>
    </w:tbl>
    <w:p>
      <w:pPr>
        <w:pStyle w:val="5"/>
        <w:spacing w:line="360" w:lineRule="auto"/>
        <w:outlineLvl w:val="9"/>
        <w:rPr>
          <w:rFonts w:hint="eastAsia" w:ascii="宋体" w:hAnsi="宋体" w:eastAsia="宋体" w:cs="宋体"/>
          <w:b w:val="0"/>
          <w:bCs/>
        </w:rPr>
      </w:pPr>
    </w:p>
    <w:p>
      <w:pPr>
        <w:pStyle w:val="5"/>
        <w:spacing w:line="360" w:lineRule="auto"/>
        <w:rPr>
          <w:rFonts w:hint="eastAsia" w:ascii="宋体" w:hAnsi="宋体" w:eastAsia="宋体" w:cs="宋体"/>
        </w:rPr>
      </w:pPr>
      <w:r>
        <w:rPr>
          <w:rFonts w:hint="eastAsia" w:ascii="宋体" w:hAnsi="宋体" w:eastAsia="宋体" w:cs="宋体"/>
          <w:b w:val="0"/>
          <w:bCs/>
        </w:rPr>
        <w:t>②</w:t>
      </w:r>
      <w:r>
        <w:rPr>
          <w:rFonts w:hint="eastAsia" w:ascii="宋体" w:hAnsi="宋体" w:eastAsia="宋体" w:cs="宋体"/>
          <w:b w:val="0"/>
          <w:bCs/>
          <w:lang w:val="en-US" w:eastAsia="zh-CN"/>
        </w:rPr>
        <w:t xml:space="preserve"> </w:t>
      </w:r>
      <w:r>
        <w:rPr>
          <w:rFonts w:hint="eastAsia" w:ascii="宋体" w:hAnsi="宋体" w:eastAsia="宋体" w:cs="宋体"/>
          <w:b w:val="0"/>
          <w:bCs/>
        </w:rPr>
        <w:t>有组织废气监测结果</w:t>
      </w:r>
      <w:bookmarkEnd w:id="152"/>
      <w:bookmarkEnd w:id="153"/>
      <w:bookmarkStart w:id="154" w:name="_Toc20867"/>
      <w:bookmarkStart w:id="155" w:name="_Toc59001935"/>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表6.6-4固定污染源废气检测结果</w:t>
      </w:r>
    </w:p>
    <w:tbl>
      <w:tblPr>
        <w:tblStyle w:val="24"/>
        <w:tblW w:w="84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64"/>
        <w:gridCol w:w="1760"/>
        <w:gridCol w:w="11"/>
        <w:gridCol w:w="1740"/>
        <w:gridCol w:w="1764"/>
      </w:tblGrid>
      <w:tr>
        <w:tblPrEx>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采样时间</w:t>
            </w:r>
          </w:p>
        </w:tc>
        <w:tc>
          <w:tcPr>
            <w:tcW w:w="527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1054" w:firstLineChars="500"/>
              <w:jc w:val="both"/>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b/>
                <w:bCs/>
                <w:sz w:val="21"/>
                <w:szCs w:val="21"/>
                <w:vertAlign w:val="baseline"/>
                <w:lang w:val="en-US" w:eastAsia="zh-CN"/>
              </w:rPr>
              <w:t>2023年10月10日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采样点位</w:t>
            </w:r>
          </w:p>
        </w:tc>
        <w:tc>
          <w:tcPr>
            <w:tcW w:w="527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饲料破碎粉尘排气筒进口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采样频次</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第一次</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第二次</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第三次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废气流量（m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/h）</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9047</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9239</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标干流量</w:t>
            </w:r>
            <w:r>
              <w:rPr>
                <w:rFonts w:hint="eastAsia" w:asciiTheme="minorEastAsia" w:hAnsiTheme="minorEastAsia" w:eastAsiaTheme="minorEastAsia" w:cstheme="minorEastAsia"/>
                <w:color w:val="auto"/>
                <w:sz w:val="21"/>
                <w:szCs w:val="21"/>
                <w:u w:val="none"/>
                <w:lang w:val="en-US" w:eastAsia="zh-CN"/>
              </w:rPr>
              <w:t>（</w:t>
            </w:r>
            <w:r>
              <w:rPr>
                <w:rFonts w:hint="eastAsia" w:asciiTheme="minorEastAsia" w:hAnsiTheme="minorEastAsia" w:eastAsiaTheme="minorEastAsia" w:cstheme="minorEastAsia"/>
                <w:color w:val="auto"/>
                <w:sz w:val="21"/>
                <w:szCs w:val="21"/>
                <w:u w:val="none"/>
              </w:rPr>
              <w:t>m</w:t>
            </w:r>
            <w:r>
              <w:rPr>
                <w:rFonts w:hint="eastAsia" w:asciiTheme="minorEastAsia" w:hAnsiTheme="minorEastAsia" w:eastAsiaTheme="minorEastAsia" w:cstheme="minorEastAsia"/>
                <w:color w:val="auto"/>
                <w:sz w:val="21"/>
                <w:szCs w:val="21"/>
                <w:u w:val="none"/>
                <w:vertAlign w:val="superscript"/>
              </w:rPr>
              <w:t>3</w:t>
            </w:r>
            <w:r>
              <w:rPr>
                <w:rFonts w:hint="eastAsia" w:asciiTheme="minorEastAsia" w:hAnsiTheme="minorEastAsia" w:eastAsiaTheme="minorEastAsia" w:cstheme="minorEastAsia"/>
                <w:color w:val="auto"/>
                <w:sz w:val="21"/>
                <w:szCs w:val="21"/>
                <w:u w:val="none"/>
              </w:rPr>
              <w:t>/h</w:t>
            </w:r>
            <w:r>
              <w:rPr>
                <w:rFonts w:hint="eastAsia" w:asciiTheme="minorEastAsia" w:hAnsiTheme="minorEastAsia" w:eastAsiaTheme="minorEastAsia" w:cstheme="minorEastAsia"/>
                <w:color w:val="auto"/>
                <w:sz w:val="21"/>
                <w:szCs w:val="21"/>
                <w:u w:val="none"/>
                <w:lang w:val="en-US" w:eastAsia="zh-CN"/>
              </w:rPr>
              <w:t>）</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8036</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8205</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8121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流速（m/s）</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12.8</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13.1</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烟温（℃）</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25</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25</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截面积（m</w:t>
            </w:r>
            <w:r>
              <w:rPr>
                <w:rFonts w:hint="eastAsia" w:asciiTheme="minorEastAsia" w:hAnsiTheme="minorEastAsia" w:eastAsiaTheme="minorEastAsia" w:cstheme="minorEastAsia"/>
                <w:sz w:val="21"/>
                <w:szCs w:val="21"/>
                <w:vertAlign w:val="superscript"/>
                <w:lang w:val="en-US" w:eastAsia="zh-CN"/>
              </w:rPr>
              <w:t>2</w:t>
            </w:r>
            <w:r>
              <w:rPr>
                <w:rFonts w:hint="eastAsia" w:asciiTheme="minorEastAsia" w:hAnsiTheme="minorEastAsia" w:eastAsiaTheme="minorEastAsia" w:cstheme="minorEastAsia"/>
                <w:sz w:val="21"/>
                <w:szCs w:val="21"/>
                <w:vertAlign w:val="baseline"/>
                <w:lang w:val="en-US" w:eastAsia="zh-CN"/>
              </w:rPr>
              <w:t>）</w:t>
            </w:r>
          </w:p>
        </w:tc>
        <w:tc>
          <w:tcPr>
            <w:tcW w:w="527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0.1963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含湿量（%）</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2.1</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2.1</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颗粒物（mg/m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104</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103</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color w:val="auto"/>
                <w:sz w:val="21"/>
                <w:szCs w:val="21"/>
              </w:rPr>
              <w:t>排放速率（kg/h</w:t>
            </w:r>
            <w:r>
              <w:rPr>
                <w:rFonts w:hint="eastAsia" w:asciiTheme="minorEastAsia" w:hAnsiTheme="minorEastAsia" w:eastAsiaTheme="minorEastAsia" w:cstheme="minorEastAsia"/>
                <w:color w:val="auto"/>
                <w:sz w:val="21"/>
                <w:szCs w:val="21"/>
                <w:lang w:eastAsia="zh-CN"/>
              </w:rPr>
              <w:t>）</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0.836</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0.845</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0.877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采样点位</w:t>
            </w:r>
          </w:p>
        </w:tc>
        <w:tc>
          <w:tcPr>
            <w:tcW w:w="527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饲料破碎粉尘排气筒出口（布袋除尘）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排气筒高度</w:t>
            </w:r>
          </w:p>
        </w:tc>
        <w:tc>
          <w:tcPr>
            <w:tcW w:w="527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采样频次</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第一次</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第二次</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第三次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废气流量（m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/h）</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10193</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10388</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标干流量</w:t>
            </w:r>
            <w:r>
              <w:rPr>
                <w:rFonts w:hint="eastAsia" w:asciiTheme="minorEastAsia" w:hAnsiTheme="minorEastAsia" w:eastAsiaTheme="minorEastAsia" w:cstheme="minorEastAsia"/>
                <w:color w:val="auto"/>
                <w:sz w:val="21"/>
                <w:szCs w:val="21"/>
                <w:u w:val="none"/>
                <w:lang w:val="en-US" w:eastAsia="zh-CN"/>
              </w:rPr>
              <w:t>（</w:t>
            </w:r>
            <w:r>
              <w:rPr>
                <w:rFonts w:hint="eastAsia" w:asciiTheme="minorEastAsia" w:hAnsiTheme="minorEastAsia" w:eastAsiaTheme="minorEastAsia" w:cstheme="minorEastAsia"/>
                <w:color w:val="auto"/>
                <w:sz w:val="21"/>
                <w:szCs w:val="21"/>
                <w:u w:val="none"/>
              </w:rPr>
              <w:t>m</w:t>
            </w:r>
            <w:r>
              <w:rPr>
                <w:rFonts w:hint="eastAsia" w:asciiTheme="minorEastAsia" w:hAnsiTheme="minorEastAsia" w:eastAsiaTheme="minorEastAsia" w:cstheme="minorEastAsia"/>
                <w:color w:val="auto"/>
                <w:sz w:val="21"/>
                <w:szCs w:val="21"/>
                <w:u w:val="none"/>
                <w:vertAlign w:val="superscript"/>
              </w:rPr>
              <w:t>3</w:t>
            </w:r>
            <w:r>
              <w:rPr>
                <w:rFonts w:hint="eastAsia" w:asciiTheme="minorEastAsia" w:hAnsiTheme="minorEastAsia" w:eastAsiaTheme="minorEastAsia" w:cstheme="minorEastAsia"/>
                <w:color w:val="auto"/>
                <w:sz w:val="21"/>
                <w:szCs w:val="21"/>
                <w:u w:val="none"/>
              </w:rPr>
              <w:t>/h</w:t>
            </w:r>
            <w:r>
              <w:rPr>
                <w:rFonts w:hint="eastAsia" w:asciiTheme="minorEastAsia" w:hAnsiTheme="minorEastAsia" w:eastAsiaTheme="minorEastAsia" w:cstheme="minorEastAsia"/>
                <w:color w:val="auto"/>
                <w:sz w:val="21"/>
                <w:szCs w:val="21"/>
                <w:u w:val="none"/>
                <w:lang w:val="en-US" w:eastAsia="zh-CN"/>
              </w:rPr>
              <w:t>）</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9164</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9341</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9291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流速（m/s）</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14.4</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14.7</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烟温（℃）</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22</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22</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截面积（m</w:t>
            </w:r>
            <w:r>
              <w:rPr>
                <w:rFonts w:hint="eastAsia" w:asciiTheme="minorEastAsia" w:hAnsiTheme="minorEastAsia" w:eastAsiaTheme="minorEastAsia" w:cstheme="minorEastAsia"/>
                <w:sz w:val="21"/>
                <w:szCs w:val="21"/>
                <w:vertAlign w:val="superscript"/>
                <w:lang w:val="en-US" w:eastAsia="zh-CN"/>
              </w:rPr>
              <w:t>2</w:t>
            </w:r>
            <w:r>
              <w:rPr>
                <w:rFonts w:hint="eastAsia" w:asciiTheme="minorEastAsia" w:hAnsiTheme="minorEastAsia" w:eastAsiaTheme="minorEastAsia" w:cstheme="minorEastAsia"/>
                <w:sz w:val="21"/>
                <w:szCs w:val="21"/>
                <w:vertAlign w:val="baseline"/>
                <w:lang w:val="en-US" w:eastAsia="zh-CN"/>
              </w:rPr>
              <w:t>）</w:t>
            </w:r>
          </w:p>
        </w:tc>
        <w:tc>
          <w:tcPr>
            <w:tcW w:w="527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0.1963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含湿量（%）</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2.2</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2.2</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颗粒物（mg/m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&lt;20</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&lt;20</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&lt;20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color w:val="auto"/>
                <w:sz w:val="21"/>
                <w:szCs w:val="21"/>
              </w:rPr>
              <w:t>排放速率（kg/h</w:t>
            </w:r>
            <w:r>
              <w:rPr>
                <w:rFonts w:hint="eastAsia" w:asciiTheme="minorEastAsia" w:hAnsiTheme="minorEastAsia" w:eastAsiaTheme="minorEastAsia" w:cstheme="minorEastAsia"/>
                <w:color w:val="auto"/>
                <w:sz w:val="21"/>
                <w:szCs w:val="21"/>
                <w:lang w:eastAsia="zh-CN"/>
              </w:rPr>
              <w:t>）</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0.092</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0.093</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0.093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采样时间</w:t>
            </w:r>
          </w:p>
        </w:tc>
        <w:tc>
          <w:tcPr>
            <w:tcW w:w="527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1054" w:firstLineChars="500"/>
              <w:jc w:val="both"/>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b/>
                <w:bCs/>
                <w:sz w:val="21"/>
                <w:szCs w:val="21"/>
                <w:vertAlign w:val="baseline"/>
                <w:lang w:val="en-US" w:eastAsia="zh-CN"/>
              </w:rPr>
              <w:t>2023年10月11日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采样点位</w:t>
            </w:r>
          </w:p>
        </w:tc>
        <w:tc>
          <w:tcPr>
            <w:tcW w:w="527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饲料破碎粉尘排气筒进口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采样频次</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第一次</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第二次</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第三次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废气流量（m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/h）</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9162</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9065</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9226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标干流量</w:t>
            </w:r>
            <w:r>
              <w:rPr>
                <w:rFonts w:hint="eastAsia" w:asciiTheme="minorEastAsia" w:hAnsiTheme="minorEastAsia" w:eastAsiaTheme="minorEastAsia" w:cstheme="minorEastAsia"/>
                <w:color w:val="auto"/>
                <w:sz w:val="21"/>
                <w:szCs w:val="21"/>
                <w:u w:val="none"/>
                <w:lang w:val="en-US" w:eastAsia="zh-CN"/>
              </w:rPr>
              <w:t>（</w:t>
            </w:r>
            <w:r>
              <w:rPr>
                <w:rFonts w:hint="eastAsia" w:asciiTheme="minorEastAsia" w:hAnsiTheme="minorEastAsia" w:eastAsiaTheme="minorEastAsia" w:cstheme="minorEastAsia"/>
                <w:color w:val="auto"/>
                <w:sz w:val="21"/>
                <w:szCs w:val="21"/>
                <w:u w:val="none"/>
              </w:rPr>
              <w:t>m</w:t>
            </w:r>
            <w:r>
              <w:rPr>
                <w:rFonts w:hint="eastAsia" w:asciiTheme="minorEastAsia" w:hAnsiTheme="minorEastAsia" w:eastAsiaTheme="minorEastAsia" w:cstheme="minorEastAsia"/>
                <w:color w:val="auto"/>
                <w:sz w:val="21"/>
                <w:szCs w:val="21"/>
                <w:u w:val="none"/>
                <w:vertAlign w:val="superscript"/>
              </w:rPr>
              <w:t>3</w:t>
            </w:r>
            <w:r>
              <w:rPr>
                <w:rFonts w:hint="eastAsia" w:asciiTheme="minorEastAsia" w:hAnsiTheme="minorEastAsia" w:eastAsiaTheme="minorEastAsia" w:cstheme="minorEastAsia"/>
                <w:color w:val="auto"/>
                <w:sz w:val="21"/>
                <w:szCs w:val="21"/>
                <w:u w:val="none"/>
              </w:rPr>
              <w:t>/h</w:t>
            </w:r>
            <w:r>
              <w:rPr>
                <w:rFonts w:hint="eastAsia" w:asciiTheme="minorEastAsia" w:hAnsiTheme="minorEastAsia" w:eastAsiaTheme="minorEastAsia" w:cstheme="minorEastAsia"/>
                <w:color w:val="auto"/>
                <w:sz w:val="21"/>
                <w:szCs w:val="21"/>
                <w:u w:val="none"/>
                <w:lang w:val="en-US" w:eastAsia="zh-CN"/>
              </w:rPr>
              <w:t>）</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8156</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8071</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8212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流速（m/s）</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13.0</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12.8</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烟温（℃）</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24</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24</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截面积（m</w:t>
            </w:r>
            <w:r>
              <w:rPr>
                <w:rFonts w:hint="eastAsia" w:asciiTheme="minorEastAsia" w:hAnsiTheme="minorEastAsia" w:eastAsiaTheme="minorEastAsia" w:cstheme="minorEastAsia"/>
                <w:sz w:val="21"/>
                <w:szCs w:val="21"/>
                <w:vertAlign w:val="superscript"/>
                <w:lang w:val="en-US" w:eastAsia="zh-CN"/>
              </w:rPr>
              <w:t>2</w:t>
            </w:r>
            <w:r>
              <w:rPr>
                <w:rFonts w:hint="eastAsia" w:asciiTheme="minorEastAsia" w:hAnsiTheme="minorEastAsia" w:eastAsiaTheme="minorEastAsia" w:cstheme="minorEastAsia"/>
                <w:sz w:val="21"/>
                <w:szCs w:val="21"/>
                <w:vertAlign w:val="baseline"/>
                <w:lang w:val="en-US" w:eastAsia="zh-CN"/>
              </w:rPr>
              <w:t>）</w:t>
            </w:r>
          </w:p>
        </w:tc>
        <w:tc>
          <w:tcPr>
            <w:tcW w:w="527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0.1963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含湿量（%）</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2.2</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2.2</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颗粒物（mg/m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106</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108</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color w:val="auto"/>
                <w:sz w:val="21"/>
                <w:szCs w:val="21"/>
              </w:rPr>
              <w:t>排放速率（kg/h</w:t>
            </w:r>
            <w:r>
              <w:rPr>
                <w:rFonts w:hint="eastAsia" w:asciiTheme="minorEastAsia" w:hAnsiTheme="minorEastAsia" w:eastAsiaTheme="minorEastAsia" w:cstheme="minorEastAsia"/>
                <w:color w:val="auto"/>
                <w:sz w:val="21"/>
                <w:szCs w:val="21"/>
                <w:lang w:eastAsia="zh-CN"/>
              </w:rPr>
              <w:t>）</w:t>
            </w:r>
          </w:p>
        </w:tc>
        <w:tc>
          <w:tcPr>
            <w:tcW w:w="176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0.865</w:t>
            </w:r>
          </w:p>
        </w:tc>
        <w:tc>
          <w:tcPr>
            <w:tcW w:w="175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0.872</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0.862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采样点位</w:t>
            </w:r>
          </w:p>
        </w:tc>
        <w:tc>
          <w:tcPr>
            <w:tcW w:w="527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饲料破碎粉尘排气筒出口（布袋除尘）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排气筒高度</w:t>
            </w:r>
          </w:p>
        </w:tc>
        <w:tc>
          <w:tcPr>
            <w:tcW w:w="527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采样频次</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第一次</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第二次</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第三次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废气流量（m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/h）</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10313</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10370</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10200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标干流量</w:t>
            </w:r>
            <w:r>
              <w:rPr>
                <w:rFonts w:hint="eastAsia" w:asciiTheme="minorEastAsia" w:hAnsiTheme="minorEastAsia" w:eastAsiaTheme="minorEastAsia" w:cstheme="minorEastAsia"/>
                <w:color w:val="auto"/>
                <w:sz w:val="21"/>
                <w:szCs w:val="21"/>
                <w:u w:val="none"/>
                <w:lang w:val="en-US" w:eastAsia="zh-CN"/>
              </w:rPr>
              <w:t>（</w:t>
            </w:r>
            <w:r>
              <w:rPr>
                <w:rFonts w:hint="eastAsia" w:asciiTheme="minorEastAsia" w:hAnsiTheme="minorEastAsia" w:eastAsiaTheme="minorEastAsia" w:cstheme="minorEastAsia"/>
                <w:color w:val="auto"/>
                <w:sz w:val="21"/>
                <w:szCs w:val="21"/>
                <w:u w:val="none"/>
              </w:rPr>
              <w:t>m</w:t>
            </w:r>
            <w:r>
              <w:rPr>
                <w:rFonts w:hint="eastAsia" w:asciiTheme="minorEastAsia" w:hAnsiTheme="minorEastAsia" w:eastAsiaTheme="minorEastAsia" w:cstheme="minorEastAsia"/>
                <w:color w:val="auto"/>
                <w:sz w:val="21"/>
                <w:szCs w:val="21"/>
                <w:u w:val="none"/>
                <w:vertAlign w:val="superscript"/>
              </w:rPr>
              <w:t>3</w:t>
            </w:r>
            <w:r>
              <w:rPr>
                <w:rFonts w:hint="eastAsia" w:asciiTheme="minorEastAsia" w:hAnsiTheme="minorEastAsia" w:eastAsiaTheme="minorEastAsia" w:cstheme="minorEastAsia"/>
                <w:color w:val="auto"/>
                <w:sz w:val="21"/>
                <w:szCs w:val="21"/>
                <w:u w:val="none"/>
              </w:rPr>
              <w:t>/h</w:t>
            </w:r>
            <w:r>
              <w:rPr>
                <w:rFonts w:hint="eastAsia" w:asciiTheme="minorEastAsia" w:hAnsiTheme="minorEastAsia" w:eastAsiaTheme="minorEastAsia" w:cstheme="minorEastAsia"/>
                <w:color w:val="auto"/>
                <w:sz w:val="21"/>
                <w:szCs w:val="21"/>
                <w:u w:val="none"/>
                <w:lang w:val="en-US" w:eastAsia="zh-CN"/>
              </w:rPr>
              <w:t>）</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9202</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9252</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9101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流速（m/s）</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14.6</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14.7</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烟温（℃）</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24</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24</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截面积（m</w:t>
            </w:r>
            <w:r>
              <w:rPr>
                <w:rFonts w:hint="eastAsia" w:asciiTheme="minorEastAsia" w:hAnsiTheme="minorEastAsia" w:eastAsiaTheme="minorEastAsia" w:cstheme="minorEastAsia"/>
                <w:sz w:val="21"/>
                <w:szCs w:val="21"/>
                <w:vertAlign w:val="superscript"/>
                <w:lang w:val="en-US" w:eastAsia="zh-CN"/>
              </w:rPr>
              <w:t>2</w:t>
            </w:r>
            <w:r>
              <w:rPr>
                <w:rFonts w:hint="eastAsia" w:asciiTheme="minorEastAsia" w:hAnsiTheme="minorEastAsia" w:eastAsiaTheme="minorEastAsia" w:cstheme="minorEastAsia"/>
                <w:sz w:val="21"/>
                <w:szCs w:val="21"/>
                <w:vertAlign w:val="baseline"/>
                <w:lang w:val="en-US" w:eastAsia="zh-CN"/>
              </w:rPr>
              <w:t>）</w:t>
            </w:r>
          </w:p>
        </w:tc>
        <w:tc>
          <w:tcPr>
            <w:tcW w:w="527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0.1963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含湿量（%）</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2.3</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2.3</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颗粒物（mg/m</w:t>
            </w:r>
            <w:r>
              <w:rPr>
                <w:rFonts w:hint="eastAsia" w:asciiTheme="minorEastAsia" w:hAnsiTheme="minorEastAsia" w:eastAsiaTheme="minorEastAsia" w:cstheme="minorEastAsia"/>
                <w:sz w:val="21"/>
                <w:szCs w:val="21"/>
                <w:vertAlign w:val="superscript"/>
                <w:lang w:val="en-US" w:eastAsia="zh-CN"/>
              </w:rPr>
              <w:t>3</w:t>
            </w:r>
            <w:r>
              <w:rPr>
                <w:rFonts w:hint="eastAsia" w:asciiTheme="minorEastAsia" w:hAnsiTheme="minorEastAsia" w:eastAsiaTheme="minorEastAsia" w:cstheme="minorEastAsia"/>
                <w:sz w:val="21"/>
                <w:szCs w:val="21"/>
                <w:vertAlign w:val="baseline"/>
                <w:lang w:val="en-US" w:eastAsia="zh-CN"/>
              </w:rPr>
              <w:t>）</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&lt;20</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&lt;20</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&lt;20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exact"/>
          <w:jc w:val="center"/>
        </w:trPr>
        <w:tc>
          <w:tcPr>
            <w:tcW w:w="31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color w:val="auto"/>
                <w:sz w:val="21"/>
                <w:szCs w:val="21"/>
              </w:rPr>
              <w:t>排放速率（kg/h</w:t>
            </w:r>
            <w:r>
              <w:rPr>
                <w:rFonts w:hint="eastAsia" w:asciiTheme="minorEastAsia" w:hAnsiTheme="minorEastAsia" w:eastAsiaTheme="minorEastAsia" w:cstheme="minorEastAsia"/>
                <w:color w:val="auto"/>
                <w:sz w:val="21"/>
                <w:szCs w:val="21"/>
                <w:lang w:eastAsia="zh-CN"/>
              </w:rPr>
              <w:t>）</w:t>
            </w:r>
          </w:p>
        </w:tc>
        <w:tc>
          <w:tcPr>
            <w:tcW w:w="177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0.092</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0.093</w:t>
            </w:r>
          </w:p>
        </w:tc>
        <w:tc>
          <w:tcPr>
            <w:tcW w:w="176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0.091</w:t>
            </w:r>
          </w:p>
        </w:tc>
      </w:tr>
      <w:bookmarkEnd w:id="154"/>
      <w:bookmarkEnd w:id="155"/>
    </w:tbl>
    <w:p>
      <w:pPr>
        <w:pStyle w:val="5"/>
        <w:spacing w:line="360" w:lineRule="auto"/>
        <w:outlineLvl w:val="9"/>
        <w:rPr>
          <w:rFonts w:hint="eastAsia" w:asciiTheme="minorEastAsia" w:hAnsiTheme="minorEastAsia" w:eastAsiaTheme="minorEastAsia" w:cstheme="minorEastAsia"/>
          <w:b w:val="0"/>
          <w:bCs/>
          <w:sz w:val="21"/>
          <w:szCs w:val="21"/>
        </w:rPr>
      </w:pPr>
      <w:bookmarkStart w:id="156" w:name="_Toc59001936"/>
      <w:bookmarkStart w:id="157" w:name="_Toc11904"/>
    </w:p>
    <w:p>
      <w:pPr>
        <w:pStyle w:val="5"/>
        <w:spacing w:line="360" w:lineRule="auto"/>
        <w:rPr>
          <w:rFonts w:ascii="宋体" w:hAnsi="宋体" w:eastAsia="宋体" w:cs="宋体"/>
          <w:b w:val="0"/>
          <w:bCs/>
        </w:rPr>
      </w:pPr>
      <w:r>
        <w:rPr>
          <w:rFonts w:hint="eastAsia" w:ascii="宋体" w:hAnsi="宋体" w:eastAsia="宋体" w:cs="宋体"/>
          <w:b w:val="0"/>
          <w:bCs/>
        </w:rPr>
        <w:t>④</w:t>
      </w:r>
      <w:r>
        <w:rPr>
          <w:rFonts w:hint="eastAsia" w:ascii="宋体" w:hAnsi="宋体" w:eastAsia="宋体" w:cs="宋体"/>
          <w:b w:val="0"/>
          <w:bCs/>
          <w:lang w:val="en-US" w:eastAsia="zh-CN"/>
        </w:rPr>
        <w:t xml:space="preserve"> </w:t>
      </w:r>
      <w:r>
        <w:rPr>
          <w:rFonts w:hint="eastAsia" w:ascii="宋体" w:hAnsi="宋体" w:eastAsia="宋体" w:cs="宋体"/>
          <w:b w:val="0"/>
          <w:bCs/>
        </w:rPr>
        <w:t>噪声监测结果</w:t>
      </w:r>
      <w:bookmarkEnd w:id="156"/>
      <w:bookmarkEnd w:id="157"/>
    </w:p>
    <w:p>
      <w:pPr>
        <w:tabs>
          <w:tab w:val="left" w:pos="1868"/>
        </w:tabs>
        <w:spacing w:line="360" w:lineRule="auto"/>
        <w:ind w:firstLine="480"/>
        <w:jc w:val="left"/>
        <w:rPr>
          <w:rFonts w:ascii="宋体" w:hAnsi="宋体" w:eastAsia="宋体" w:cs="宋体"/>
        </w:rPr>
      </w:pPr>
      <w:r>
        <w:rPr>
          <w:rFonts w:ascii="宋体" w:hAnsi="宋体" w:eastAsia="宋体" w:cs="宋体"/>
        </w:rPr>
        <w:t>20</w:t>
      </w:r>
      <w:r>
        <w:rPr>
          <w:rFonts w:hint="eastAsia" w:ascii="宋体" w:hAnsi="宋体" w:eastAsia="宋体" w:cs="宋体"/>
          <w:lang w:val="en-US" w:eastAsia="zh-CN"/>
        </w:rPr>
        <w:t>23</w:t>
      </w:r>
      <w:r>
        <w:rPr>
          <w:rFonts w:hint="eastAsia" w:ascii="宋体" w:hAnsi="宋体" w:eastAsia="宋体" w:cs="宋体"/>
        </w:rPr>
        <w:t>年</w:t>
      </w:r>
      <w:r>
        <w:rPr>
          <w:rFonts w:hint="eastAsia" w:ascii="宋体" w:hAnsi="宋体" w:eastAsia="宋体" w:cs="宋体"/>
          <w:lang w:val="en-US" w:eastAsia="zh-CN"/>
        </w:rPr>
        <w:t>10</w:t>
      </w:r>
      <w:r>
        <w:rPr>
          <w:rFonts w:hint="eastAsia" w:ascii="宋体" w:hAnsi="宋体" w:eastAsia="宋体" w:cs="宋体"/>
        </w:rPr>
        <w:t>月</w:t>
      </w:r>
      <w:r>
        <w:rPr>
          <w:rFonts w:hint="eastAsia" w:ascii="宋体" w:hAnsi="宋体" w:eastAsia="宋体" w:cs="宋体"/>
          <w:lang w:val="en-US" w:eastAsia="zh-CN"/>
        </w:rPr>
        <w:t>10</w:t>
      </w:r>
      <w:r>
        <w:rPr>
          <w:rFonts w:hint="eastAsia" w:ascii="宋体" w:hAnsi="宋体" w:eastAsia="宋体" w:cs="宋体"/>
        </w:rPr>
        <w:t>日～</w:t>
      </w:r>
      <w:r>
        <w:rPr>
          <w:rFonts w:hint="eastAsia" w:ascii="宋体" w:hAnsi="宋体" w:eastAsia="宋体" w:cs="宋体"/>
          <w:lang w:val="en-US" w:eastAsia="zh-CN"/>
        </w:rPr>
        <w:t xml:space="preserve"> 10</w:t>
      </w:r>
      <w:r>
        <w:rPr>
          <w:rFonts w:hint="eastAsia" w:ascii="宋体" w:hAnsi="宋体" w:eastAsia="宋体" w:cs="宋体"/>
        </w:rPr>
        <w:t>月</w:t>
      </w:r>
      <w:r>
        <w:rPr>
          <w:rFonts w:hint="eastAsia" w:ascii="宋体" w:hAnsi="宋体" w:eastAsia="宋体" w:cs="宋体"/>
          <w:lang w:val="en-US" w:eastAsia="zh-CN"/>
        </w:rPr>
        <w:t>11</w:t>
      </w:r>
      <w:r>
        <w:rPr>
          <w:rFonts w:hint="eastAsia" w:ascii="宋体" w:hAnsi="宋体" w:eastAsia="宋体" w:cs="宋体"/>
        </w:rPr>
        <w:t>日对项目厂界噪声排放进行了昼</w:t>
      </w:r>
      <w:r>
        <w:rPr>
          <w:rFonts w:hint="eastAsia" w:ascii="宋体" w:hAnsi="宋体" w:eastAsia="宋体" w:cs="宋体"/>
          <w:lang w:eastAsia="zh-CN"/>
        </w:rPr>
        <w:t>、</w:t>
      </w:r>
      <w:r>
        <w:rPr>
          <w:rFonts w:hint="eastAsia" w:ascii="宋体" w:hAnsi="宋体" w:eastAsia="宋体" w:cs="宋体"/>
          <w:lang w:val="en-US" w:eastAsia="zh-CN"/>
        </w:rPr>
        <w:t>夜</w:t>
      </w:r>
      <w:r>
        <w:rPr>
          <w:rFonts w:hint="eastAsia" w:ascii="宋体" w:hAnsi="宋体" w:eastAsia="宋体" w:cs="宋体"/>
        </w:rPr>
        <w:t>间2天监测，噪声监测结果详见</w:t>
      </w:r>
      <w:r>
        <w:rPr>
          <w:rFonts w:ascii="宋体" w:hAnsi="宋体" w:eastAsia="宋体" w:cs="宋体"/>
        </w:rPr>
        <w:t>下表</w:t>
      </w:r>
      <w:r>
        <w:rPr>
          <w:rFonts w:hint="eastAsia" w:ascii="宋体" w:hAnsi="宋体" w:eastAsia="宋体" w:cs="宋体"/>
        </w:rPr>
        <w:t>。</w:t>
      </w:r>
    </w:p>
    <w:p>
      <w:pPr>
        <w:tabs>
          <w:tab w:val="left" w:pos="1868"/>
        </w:tabs>
        <w:spacing w:line="360" w:lineRule="auto"/>
        <w:ind w:firstLine="482"/>
        <w:jc w:val="center"/>
        <w:rPr>
          <w:rFonts w:hint="eastAsia" w:ascii="宋体" w:hAnsi="宋体" w:eastAsia="宋体" w:cs="宋体"/>
          <w:b w:val="0"/>
          <w:bCs w:val="0"/>
        </w:rPr>
      </w:pPr>
      <w:r>
        <w:rPr>
          <w:rFonts w:hint="eastAsia" w:ascii="宋体" w:hAnsi="宋体" w:eastAsia="宋体" w:cs="宋体"/>
          <w:b w:val="0"/>
          <w:bCs w:val="0"/>
        </w:rPr>
        <w:t>表</w:t>
      </w:r>
      <w:r>
        <w:rPr>
          <w:rFonts w:hint="eastAsia" w:ascii="宋体" w:hAnsi="宋体" w:eastAsia="宋体" w:cs="宋体"/>
          <w:b w:val="0"/>
          <w:bCs w:val="0"/>
          <w:lang w:val="en-US" w:eastAsia="zh-CN"/>
        </w:rPr>
        <w:t>6.6-5</w:t>
      </w:r>
      <w:r>
        <w:rPr>
          <w:rFonts w:hint="eastAsia" w:ascii="宋体" w:hAnsi="宋体" w:eastAsia="宋体" w:cs="宋体"/>
          <w:b w:val="0"/>
          <w:bCs w:val="0"/>
        </w:rPr>
        <w:t>厂界噪声监测结果</w:t>
      </w:r>
    </w:p>
    <w:tbl>
      <w:tblPr>
        <w:tblStyle w:val="23"/>
        <w:tblW w:w="82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3"/>
        <w:gridCol w:w="1830"/>
        <w:gridCol w:w="2655"/>
        <w:gridCol w:w="25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73" w:type="dxa"/>
            <w:vMerge w:val="restart"/>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b w:val="0"/>
                <w:bCs w:val="0"/>
                <w:sz w:val="21"/>
                <w:szCs w:val="21"/>
                <w:vertAlign w:val="baseline"/>
                <w:lang w:val="en-US" w:eastAsia="zh-CN"/>
              </w:rPr>
              <w:t>检测时间</w:t>
            </w:r>
          </w:p>
        </w:tc>
        <w:tc>
          <w:tcPr>
            <w:tcW w:w="1830" w:type="dxa"/>
            <w:vMerge w:val="restart"/>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检测地点</w:t>
            </w:r>
          </w:p>
        </w:tc>
        <w:tc>
          <w:tcPr>
            <w:tcW w:w="2655"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昼间</w:t>
            </w:r>
          </w:p>
        </w:tc>
        <w:tc>
          <w:tcPr>
            <w:tcW w:w="2581"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73" w:type="dxa"/>
            <w:vMerge w:val="continue"/>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rPr>
            </w:pPr>
          </w:p>
        </w:tc>
        <w:tc>
          <w:tcPr>
            <w:tcW w:w="1830" w:type="dxa"/>
            <w:vMerge w:val="continue"/>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rPr>
            </w:pPr>
          </w:p>
        </w:tc>
        <w:tc>
          <w:tcPr>
            <w:tcW w:w="2655"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检测值dB（A）</w:t>
            </w:r>
          </w:p>
        </w:tc>
        <w:tc>
          <w:tcPr>
            <w:tcW w:w="2581"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检测值dB（A）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73" w:type="dxa"/>
            <w:vMerge w:val="restar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sz w:val="21"/>
                <w:szCs w:val="21"/>
                <w:vertAlign w:val="baseline"/>
                <w:lang w:val="en-US" w:eastAsia="zh-CN"/>
              </w:rPr>
            </w:pP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sz w:val="21"/>
                <w:szCs w:val="21"/>
                <w:vertAlign w:val="baseline"/>
                <w:lang w:val="en-US" w:eastAsia="zh-CN"/>
              </w:rPr>
            </w:pP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eastAsiaTheme="minorEastAsia" w:cstheme="minorEastAsia"/>
                <w:b w:val="0"/>
                <w:bCs w:val="0"/>
                <w:sz w:val="21"/>
                <w:szCs w:val="21"/>
                <w:vertAlign w:val="baseline"/>
                <w:lang w:val="en-US" w:eastAsia="zh-CN"/>
              </w:rPr>
              <w:t>10月10日</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1"/>
                <w:szCs w:val="21"/>
              </w:rPr>
            </w:pP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1"/>
                <w:szCs w:val="21"/>
                <w:lang w:val="en-US" w:eastAsia="zh-CN"/>
              </w:rPr>
            </w:pPr>
          </w:p>
        </w:tc>
        <w:tc>
          <w:tcPr>
            <w:tcW w:w="1830" w:type="dxa"/>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b w:val="0"/>
                <w:bCs w:val="0"/>
                <w:sz w:val="21"/>
                <w:szCs w:val="21"/>
                <w:vertAlign w:val="baseline"/>
                <w:lang w:val="en-US" w:eastAsia="zh-CN"/>
              </w:rPr>
              <w:t>1</w:t>
            </w:r>
            <w:r>
              <w:rPr>
                <w:rFonts w:hint="eastAsia" w:asciiTheme="minorEastAsia" w:hAnsiTheme="minorEastAsia" w:eastAsiaTheme="minorEastAsia" w:cstheme="minorEastAsia"/>
                <w:b w:val="0"/>
                <w:bCs w:val="0"/>
                <w:sz w:val="21"/>
                <w:szCs w:val="21"/>
                <w:vertAlign w:val="superscript"/>
                <w:lang w:val="en-US" w:eastAsia="zh-CN"/>
              </w:rPr>
              <w:t>#</w:t>
            </w:r>
            <w:r>
              <w:rPr>
                <w:rFonts w:hint="eastAsia" w:asciiTheme="minorEastAsia" w:hAnsiTheme="minorEastAsia" w:eastAsiaTheme="minorEastAsia" w:cstheme="minorEastAsia"/>
                <w:b w:val="0"/>
                <w:bCs w:val="0"/>
                <w:sz w:val="21"/>
                <w:szCs w:val="21"/>
                <w:vertAlign w:val="baseline"/>
                <w:lang w:val="en-US" w:eastAsia="zh-CN"/>
              </w:rPr>
              <w:t>东厂界外1米</w:t>
            </w:r>
          </w:p>
        </w:tc>
        <w:tc>
          <w:tcPr>
            <w:tcW w:w="2655"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52</w:t>
            </w:r>
          </w:p>
        </w:tc>
        <w:tc>
          <w:tcPr>
            <w:tcW w:w="2581"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73" w:type="dxa"/>
            <w:vMerge w:val="continue"/>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sz w:val="21"/>
                <w:szCs w:val="21"/>
                <w:vertAlign w:val="baseline"/>
                <w:lang w:val="en-US" w:eastAsia="zh-CN"/>
              </w:rPr>
            </w:pPr>
          </w:p>
        </w:tc>
        <w:tc>
          <w:tcPr>
            <w:tcW w:w="1830" w:type="dxa"/>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kern w:val="2"/>
                <w:sz w:val="21"/>
                <w:szCs w:val="21"/>
                <w:vertAlign w:val="baseline"/>
                <w:lang w:val="en-US" w:eastAsia="zh-CN" w:bidi="ar-SA"/>
              </w:rPr>
            </w:pPr>
            <w:r>
              <w:rPr>
                <w:rFonts w:hint="eastAsia" w:asciiTheme="minorEastAsia" w:hAnsiTheme="minorEastAsia" w:eastAsiaTheme="minorEastAsia" w:cstheme="minorEastAsia"/>
                <w:b w:val="0"/>
                <w:bCs w:val="0"/>
                <w:sz w:val="21"/>
                <w:szCs w:val="21"/>
                <w:vertAlign w:val="baseline"/>
                <w:lang w:val="en-US" w:eastAsia="zh-CN"/>
              </w:rPr>
              <w:t>2</w:t>
            </w:r>
            <w:r>
              <w:rPr>
                <w:rFonts w:hint="eastAsia" w:asciiTheme="minorEastAsia" w:hAnsiTheme="minorEastAsia" w:eastAsiaTheme="minorEastAsia" w:cstheme="minorEastAsia"/>
                <w:b w:val="0"/>
                <w:bCs w:val="0"/>
                <w:sz w:val="21"/>
                <w:szCs w:val="21"/>
                <w:vertAlign w:val="superscript"/>
                <w:lang w:val="en-US" w:eastAsia="zh-CN"/>
              </w:rPr>
              <w:t>#</w:t>
            </w:r>
            <w:r>
              <w:rPr>
                <w:rFonts w:hint="eastAsia" w:asciiTheme="minorEastAsia" w:hAnsiTheme="minorEastAsia" w:eastAsiaTheme="minorEastAsia" w:cstheme="minorEastAsia"/>
                <w:b w:val="0"/>
                <w:bCs w:val="0"/>
                <w:sz w:val="21"/>
                <w:szCs w:val="21"/>
                <w:vertAlign w:val="baseline"/>
                <w:lang w:val="en-US" w:eastAsia="zh-CN"/>
              </w:rPr>
              <w:t>南厂界外1米</w:t>
            </w:r>
          </w:p>
        </w:tc>
        <w:tc>
          <w:tcPr>
            <w:tcW w:w="2655"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54</w:t>
            </w:r>
          </w:p>
        </w:tc>
        <w:tc>
          <w:tcPr>
            <w:tcW w:w="2581"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73" w:type="dxa"/>
            <w:vMerge w:val="continue"/>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sz w:val="21"/>
                <w:szCs w:val="21"/>
                <w:vertAlign w:val="baseline"/>
                <w:lang w:val="en-US" w:eastAsia="zh-CN"/>
              </w:rPr>
            </w:pPr>
          </w:p>
        </w:tc>
        <w:tc>
          <w:tcPr>
            <w:tcW w:w="1830" w:type="dxa"/>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kern w:val="2"/>
                <w:sz w:val="21"/>
                <w:szCs w:val="21"/>
                <w:vertAlign w:val="baseline"/>
                <w:lang w:val="en-US" w:eastAsia="zh-CN" w:bidi="ar-SA"/>
              </w:rPr>
            </w:pPr>
            <w:r>
              <w:rPr>
                <w:rFonts w:hint="eastAsia" w:asciiTheme="minorEastAsia" w:hAnsiTheme="minorEastAsia" w:eastAsiaTheme="minorEastAsia" w:cstheme="minorEastAsia"/>
                <w:b w:val="0"/>
                <w:bCs w:val="0"/>
                <w:sz w:val="21"/>
                <w:szCs w:val="21"/>
                <w:vertAlign w:val="baseline"/>
                <w:lang w:val="en-US" w:eastAsia="zh-CN"/>
              </w:rPr>
              <w:t>3</w:t>
            </w:r>
            <w:r>
              <w:rPr>
                <w:rFonts w:hint="eastAsia" w:asciiTheme="minorEastAsia" w:hAnsiTheme="minorEastAsia" w:eastAsiaTheme="minorEastAsia" w:cstheme="minorEastAsia"/>
                <w:b w:val="0"/>
                <w:bCs w:val="0"/>
                <w:sz w:val="21"/>
                <w:szCs w:val="21"/>
                <w:vertAlign w:val="superscript"/>
                <w:lang w:val="en-US" w:eastAsia="zh-CN"/>
              </w:rPr>
              <w:t>#</w:t>
            </w:r>
            <w:r>
              <w:rPr>
                <w:rFonts w:hint="eastAsia" w:asciiTheme="minorEastAsia" w:hAnsiTheme="minorEastAsia" w:eastAsiaTheme="minorEastAsia" w:cstheme="minorEastAsia"/>
                <w:b w:val="0"/>
                <w:bCs w:val="0"/>
                <w:sz w:val="21"/>
                <w:szCs w:val="21"/>
                <w:vertAlign w:val="baseline"/>
                <w:lang w:val="en-US" w:eastAsia="zh-CN"/>
              </w:rPr>
              <w:t>西厂界外1米</w:t>
            </w:r>
          </w:p>
        </w:tc>
        <w:tc>
          <w:tcPr>
            <w:tcW w:w="2655"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52</w:t>
            </w:r>
          </w:p>
        </w:tc>
        <w:tc>
          <w:tcPr>
            <w:tcW w:w="2581"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73" w:type="dxa"/>
            <w:vMerge w:val="continue"/>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sz w:val="21"/>
                <w:szCs w:val="21"/>
                <w:vertAlign w:val="baseline"/>
                <w:lang w:val="en-US" w:eastAsia="zh-CN"/>
              </w:rPr>
            </w:pPr>
          </w:p>
        </w:tc>
        <w:tc>
          <w:tcPr>
            <w:tcW w:w="1830" w:type="dxa"/>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kern w:val="2"/>
                <w:sz w:val="21"/>
                <w:szCs w:val="21"/>
                <w:vertAlign w:val="baseline"/>
                <w:lang w:val="en-US" w:eastAsia="zh-CN" w:bidi="ar-SA"/>
              </w:rPr>
            </w:pPr>
            <w:r>
              <w:rPr>
                <w:rFonts w:hint="eastAsia" w:asciiTheme="minorEastAsia" w:hAnsiTheme="minorEastAsia" w:eastAsiaTheme="minorEastAsia" w:cstheme="minorEastAsia"/>
                <w:b w:val="0"/>
                <w:bCs w:val="0"/>
                <w:sz w:val="21"/>
                <w:szCs w:val="21"/>
                <w:vertAlign w:val="baseline"/>
                <w:lang w:val="en-US" w:eastAsia="zh-CN"/>
              </w:rPr>
              <w:t>4</w:t>
            </w:r>
            <w:r>
              <w:rPr>
                <w:rFonts w:hint="eastAsia" w:asciiTheme="minorEastAsia" w:hAnsiTheme="minorEastAsia" w:eastAsiaTheme="minorEastAsia" w:cstheme="minorEastAsia"/>
                <w:b w:val="0"/>
                <w:bCs w:val="0"/>
                <w:sz w:val="21"/>
                <w:szCs w:val="21"/>
                <w:vertAlign w:val="superscript"/>
                <w:lang w:val="en-US" w:eastAsia="zh-CN"/>
              </w:rPr>
              <w:t>#</w:t>
            </w:r>
            <w:r>
              <w:rPr>
                <w:rFonts w:hint="eastAsia" w:asciiTheme="minorEastAsia" w:hAnsiTheme="minorEastAsia" w:eastAsiaTheme="minorEastAsia" w:cstheme="minorEastAsia"/>
                <w:b w:val="0"/>
                <w:bCs w:val="0"/>
                <w:sz w:val="21"/>
                <w:szCs w:val="21"/>
                <w:vertAlign w:val="baseline"/>
                <w:lang w:val="en-US" w:eastAsia="zh-CN"/>
              </w:rPr>
              <w:t>北厂界外1米</w:t>
            </w:r>
          </w:p>
        </w:tc>
        <w:tc>
          <w:tcPr>
            <w:tcW w:w="2655"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51</w:t>
            </w:r>
          </w:p>
        </w:tc>
        <w:tc>
          <w:tcPr>
            <w:tcW w:w="2581"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73" w:type="dxa"/>
            <w:vMerge w:val="restar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sz w:val="21"/>
                <w:szCs w:val="21"/>
                <w:vertAlign w:val="baseline"/>
                <w:lang w:val="en-US" w:eastAsia="zh-CN"/>
              </w:rPr>
            </w:pP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sz w:val="21"/>
                <w:szCs w:val="21"/>
                <w:vertAlign w:val="baseline"/>
                <w:lang w:val="en-US" w:eastAsia="zh-CN"/>
              </w:rPr>
            </w:pP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eastAsiaTheme="minorEastAsia" w:cstheme="minorEastAsia"/>
                <w:b w:val="0"/>
                <w:bCs w:val="0"/>
                <w:sz w:val="21"/>
                <w:szCs w:val="21"/>
                <w:vertAlign w:val="baseline"/>
                <w:lang w:val="en-US" w:eastAsia="zh-CN"/>
              </w:rPr>
              <w:t>10月11日</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1"/>
                <w:szCs w:val="21"/>
              </w:rPr>
            </w:pP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1"/>
                <w:szCs w:val="21"/>
                <w:lang w:val="en-US" w:eastAsia="zh-CN"/>
              </w:rPr>
            </w:pPr>
          </w:p>
        </w:tc>
        <w:tc>
          <w:tcPr>
            <w:tcW w:w="1830" w:type="dxa"/>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b w:val="0"/>
                <w:bCs w:val="0"/>
                <w:sz w:val="21"/>
                <w:szCs w:val="21"/>
                <w:vertAlign w:val="baseline"/>
                <w:lang w:val="en-US" w:eastAsia="zh-CN"/>
              </w:rPr>
              <w:t>1</w:t>
            </w:r>
            <w:r>
              <w:rPr>
                <w:rFonts w:hint="eastAsia" w:asciiTheme="minorEastAsia" w:hAnsiTheme="minorEastAsia" w:eastAsiaTheme="minorEastAsia" w:cstheme="minorEastAsia"/>
                <w:b w:val="0"/>
                <w:bCs w:val="0"/>
                <w:sz w:val="21"/>
                <w:szCs w:val="21"/>
                <w:vertAlign w:val="superscript"/>
                <w:lang w:val="en-US" w:eastAsia="zh-CN"/>
              </w:rPr>
              <w:t>#</w:t>
            </w:r>
            <w:r>
              <w:rPr>
                <w:rFonts w:hint="eastAsia" w:asciiTheme="minorEastAsia" w:hAnsiTheme="minorEastAsia" w:eastAsiaTheme="minorEastAsia" w:cstheme="minorEastAsia"/>
                <w:b w:val="0"/>
                <w:bCs w:val="0"/>
                <w:sz w:val="21"/>
                <w:szCs w:val="21"/>
                <w:vertAlign w:val="baseline"/>
                <w:lang w:val="en-US" w:eastAsia="zh-CN"/>
              </w:rPr>
              <w:t>东厂界外1米</w:t>
            </w:r>
          </w:p>
        </w:tc>
        <w:tc>
          <w:tcPr>
            <w:tcW w:w="2655"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52</w:t>
            </w:r>
          </w:p>
        </w:tc>
        <w:tc>
          <w:tcPr>
            <w:tcW w:w="2581"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73" w:type="dxa"/>
            <w:vMerge w:val="continue"/>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sz w:val="21"/>
                <w:szCs w:val="21"/>
                <w:vertAlign w:val="baseline"/>
                <w:lang w:val="en-US" w:eastAsia="zh-CN"/>
              </w:rPr>
            </w:pPr>
          </w:p>
        </w:tc>
        <w:tc>
          <w:tcPr>
            <w:tcW w:w="1830" w:type="dxa"/>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kern w:val="2"/>
                <w:sz w:val="21"/>
                <w:szCs w:val="21"/>
                <w:vertAlign w:val="baseline"/>
                <w:lang w:val="en-US" w:eastAsia="zh-CN" w:bidi="ar-SA"/>
              </w:rPr>
            </w:pPr>
            <w:r>
              <w:rPr>
                <w:rFonts w:hint="eastAsia" w:asciiTheme="minorEastAsia" w:hAnsiTheme="minorEastAsia" w:eastAsiaTheme="minorEastAsia" w:cstheme="minorEastAsia"/>
                <w:b w:val="0"/>
                <w:bCs w:val="0"/>
                <w:sz w:val="21"/>
                <w:szCs w:val="21"/>
                <w:vertAlign w:val="baseline"/>
                <w:lang w:val="en-US" w:eastAsia="zh-CN"/>
              </w:rPr>
              <w:t>2</w:t>
            </w:r>
            <w:r>
              <w:rPr>
                <w:rFonts w:hint="eastAsia" w:asciiTheme="minorEastAsia" w:hAnsiTheme="minorEastAsia" w:eastAsiaTheme="minorEastAsia" w:cstheme="minorEastAsia"/>
                <w:b w:val="0"/>
                <w:bCs w:val="0"/>
                <w:sz w:val="21"/>
                <w:szCs w:val="21"/>
                <w:vertAlign w:val="superscript"/>
                <w:lang w:val="en-US" w:eastAsia="zh-CN"/>
              </w:rPr>
              <w:t>#</w:t>
            </w:r>
            <w:r>
              <w:rPr>
                <w:rFonts w:hint="eastAsia" w:asciiTheme="minorEastAsia" w:hAnsiTheme="minorEastAsia" w:eastAsiaTheme="minorEastAsia" w:cstheme="minorEastAsia"/>
                <w:b w:val="0"/>
                <w:bCs w:val="0"/>
                <w:sz w:val="21"/>
                <w:szCs w:val="21"/>
                <w:vertAlign w:val="baseline"/>
                <w:lang w:val="en-US" w:eastAsia="zh-CN"/>
              </w:rPr>
              <w:t>南厂界外1米</w:t>
            </w:r>
          </w:p>
        </w:tc>
        <w:tc>
          <w:tcPr>
            <w:tcW w:w="2655"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52</w:t>
            </w:r>
          </w:p>
        </w:tc>
        <w:tc>
          <w:tcPr>
            <w:tcW w:w="2581"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73" w:type="dxa"/>
            <w:vMerge w:val="continue"/>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sz w:val="21"/>
                <w:szCs w:val="21"/>
                <w:vertAlign w:val="baseline"/>
                <w:lang w:val="en-US" w:eastAsia="zh-CN"/>
              </w:rPr>
            </w:pPr>
          </w:p>
        </w:tc>
        <w:tc>
          <w:tcPr>
            <w:tcW w:w="1830" w:type="dxa"/>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kern w:val="2"/>
                <w:sz w:val="21"/>
                <w:szCs w:val="21"/>
                <w:vertAlign w:val="baseline"/>
                <w:lang w:val="en-US" w:eastAsia="zh-CN" w:bidi="ar-SA"/>
              </w:rPr>
            </w:pPr>
            <w:r>
              <w:rPr>
                <w:rFonts w:hint="eastAsia" w:asciiTheme="minorEastAsia" w:hAnsiTheme="minorEastAsia" w:eastAsiaTheme="minorEastAsia" w:cstheme="minorEastAsia"/>
                <w:b w:val="0"/>
                <w:bCs w:val="0"/>
                <w:sz w:val="21"/>
                <w:szCs w:val="21"/>
                <w:vertAlign w:val="baseline"/>
                <w:lang w:val="en-US" w:eastAsia="zh-CN"/>
              </w:rPr>
              <w:t>3</w:t>
            </w:r>
            <w:r>
              <w:rPr>
                <w:rFonts w:hint="eastAsia" w:asciiTheme="minorEastAsia" w:hAnsiTheme="minorEastAsia" w:eastAsiaTheme="minorEastAsia" w:cstheme="minorEastAsia"/>
                <w:b w:val="0"/>
                <w:bCs w:val="0"/>
                <w:sz w:val="21"/>
                <w:szCs w:val="21"/>
                <w:vertAlign w:val="superscript"/>
                <w:lang w:val="en-US" w:eastAsia="zh-CN"/>
              </w:rPr>
              <w:t>#</w:t>
            </w:r>
            <w:r>
              <w:rPr>
                <w:rFonts w:hint="eastAsia" w:asciiTheme="minorEastAsia" w:hAnsiTheme="minorEastAsia" w:eastAsiaTheme="minorEastAsia" w:cstheme="minorEastAsia"/>
                <w:b w:val="0"/>
                <w:bCs w:val="0"/>
                <w:sz w:val="21"/>
                <w:szCs w:val="21"/>
                <w:vertAlign w:val="baseline"/>
                <w:lang w:val="en-US" w:eastAsia="zh-CN"/>
              </w:rPr>
              <w:t>西厂界外1米</w:t>
            </w:r>
          </w:p>
        </w:tc>
        <w:tc>
          <w:tcPr>
            <w:tcW w:w="2655"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51</w:t>
            </w:r>
          </w:p>
        </w:tc>
        <w:tc>
          <w:tcPr>
            <w:tcW w:w="2581"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173" w:type="dxa"/>
            <w:vMerge w:val="continue"/>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sz w:val="21"/>
                <w:szCs w:val="21"/>
                <w:vertAlign w:val="baseline"/>
                <w:lang w:val="en-US" w:eastAsia="zh-CN"/>
              </w:rPr>
            </w:pPr>
          </w:p>
        </w:tc>
        <w:tc>
          <w:tcPr>
            <w:tcW w:w="1830" w:type="dxa"/>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b w:val="0"/>
                <w:bCs w:val="0"/>
                <w:kern w:val="2"/>
                <w:sz w:val="21"/>
                <w:szCs w:val="21"/>
                <w:vertAlign w:val="baseline"/>
                <w:lang w:val="en-US" w:eastAsia="zh-CN" w:bidi="ar-SA"/>
              </w:rPr>
            </w:pPr>
            <w:r>
              <w:rPr>
                <w:rFonts w:hint="eastAsia" w:asciiTheme="minorEastAsia" w:hAnsiTheme="minorEastAsia" w:eastAsiaTheme="minorEastAsia" w:cstheme="minorEastAsia"/>
                <w:b w:val="0"/>
                <w:bCs w:val="0"/>
                <w:sz w:val="21"/>
                <w:szCs w:val="21"/>
                <w:vertAlign w:val="baseline"/>
                <w:lang w:val="en-US" w:eastAsia="zh-CN"/>
              </w:rPr>
              <w:t>4</w:t>
            </w:r>
            <w:r>
              <w:rPr>
                <w:rFonts w:hint="eastAsia" w:asciiTheme="minorEastAsia" w:hAnsiTheme="minorEastAsia" w:eastAsiaTheme="minorEastAsia" w:cstheme="minorEastAsia"/>
                <w:b w:val="0"/>
                <w:bCs w:val="0"/>
                <w:sz w:val="21"/>
                <w:szCs w:val="21"/>
                <w:vertAlign w:val="superscript"/>
                <w:lang w:val="en-US" w:eastAsia="zh-CN"/>
              </w:rPr>
              <w:t>#</w:t>
            </w:r>
            <w:r>
              <w:rPr>
                <w:rFonts w:hint="eastAsia" w:asciiTheme="minorEastAsia" w:hAnsiTheme="minorEastAsia" w:eastAsiaTheme="minorEastAsia" w:cstheme="minorEastAsia"/>
                <w:b w:val="0"/>
                <w:bCs w:val="0"/>
                <w:sz w:val="21"/>
                <w:szCs w:val="21"/>
                <w:vertAlign w:val="baseline"/>
                <w:lang w:val="en-US" w:eastAsia="zh-CN"/>
              </w:rPr>
              <w:t>北厂界外1米</w:t>
            </w:r>
          </w:p>
        </w:tc>
        <w:tc>
          <w:tcPr>
            <w:tcW w:w="2655"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52</w:t>
            </w:r>
          </w:p>
        </w:tc>
        <w:tc>
          <w:tcPr>
            <w:tcW w:w="2581" w:type="dxa"/>
            <w:noWrap w:val="0"/>
            <w:vAlign w:val="center"/>
          </w:tcPr>
          <w:p>
            <w:pPr>
              <w:keepNext w:val="0"/>
              <w:keepLines w:val="0"/>
              <w:pageBreakBefore w:val="0"/>
              <w:kinsoku/>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42</w:t>
            </w:r>
          </w:p>
        </w:tc>
      </w:tr>
    </w:tbl>
    <w:p>
      <w:pPr>
        <w:pStyle w:val="2"/>
        <w:numPr>
          <w:ilvl w:val="0"/>
          <w:numId w:val="0"/>
        </w:numPr>
        <w:rPr>
          <w:rFonts w:ascii="宋体" w:hAnsi="宋体" w:cs="宋体"/>
          <w:sz w:val="30"/>
          <w:szCs w:val="30"/>
        </w:rPr>
      </w:pPr>
      <w:bookmarkStart w:id="158" w:name="_Toc31114"/>
      <w:bookmarkEnd w:id="158"/>
      <w:bookmarkStart w:id="159" w:name="_Toc1477"/>
      <w:bookmarkStart w:id="160" w:name="_Toc30548"/>
      <w:bookmarkStart w:id="161" w:name="_Toc22566"/>
      <w:r>
        <w:rPr>
          <w:rFonts w:hint="eastAsia" w:ascii="宋体" w:hAnsi="宋体" w:cs="宋体"/>
          <w:sz w:val="30"/>
          <w:szCs w:val="30"/>
          <w:lang w:val="en-US" w:eastAsia="zh-CN"/>
        </w:rPr>
        <w:t>7、</w:t>
      </w:r>
      <w:r>
        <w:rPr>
          <w:rFonts w:hint="eastAsia" w:ascii="宋体" w:hAnsi="宋体" w:cs="宋体"/>
          <w:sz w:val="30"/>
          <w:szCs w:val="30"/>
        </w:rPr>
        <w:t>验收监测结论和建议</w:t>
      </w:r>
      <w:bookmarkEnd w:id="159"/>
      <w:bookmarkEnd w:id="160"/>
      <w:bookmarkEnd w:id="161"/>
    </w:p>
    <w:p>
      <w:pPr>
        <w:pStyle w:val="4"/>
        <w:rPr>
          <w:rFonts w:ascii="宋体" w:hAnsi="宋体" w:eastAsia="宋体" w:cs="宋体"/>
          <w:sz w:val="28"/>
          <w:szCs w:val="28"/>
        </w:rPr>
      </w:pPr>
      <w:bookmarkStart w:id="162" w:name="_Toc31721"/>
      <w:bookmarkStart w:id="163" w:name="_Toc32012"/>
      <w:bookmarkStart w:id="164" w:name="_Toc8564"/>
      <w:bookmarkStart w:id="165" w:name="_Toc514765591"/>
      <w:bookmarkStart w:id="166" w:name="_Toc516654703"/>
      <w:bookmarkStart w:id="167" w:name="_Toc514530225"/>
      <w:r>
        <w:rPr>
          <w:rFonts w:hint="eastAsia" w:ascii="宋体" w:hAnsi="宋体" w:eastAsia="宋体" w:cs="宋体"/>
          <w:sz w:val="28"/>
          <w:szCs w:val="28"/>
          <w:lang w:val="en-US" w:eastAsia="zh-CN"/>
        </w:rPr>
        <w:t>7.1、</w:t>
      </w:r>
      <w:r>
        <w:rPr>
          <w:rFonts w:hint="eastAsia" w:ascii="宋体" w:hAnsi="宋体" w:eastAsia="宋体" w:cs="宋体"/>
          <w:sz w:val="28"/>
          <w:szCs w:val="28"/>
        </w:rPr>
        <w:t>监测结论</w:t>
      </w:r>
      <w:bookmarkEnd w:id="162"/>
      <w:bookmarkEnd w:id="163"/>
      <w:bookmarkEnd w:id="164"/>
    </w:p>
    <w:p>
      <w:pPr>
        <w:pStyle w:val="5"/>
        <w:spacing w:line="360" w:lineRule="auto"/>
        <w:rPr>
          <w:rFonts w:hint="eastAsia" w:ascii="宋体" w:hAnsi="宋体" w:eastAsia="宋体" w:cs="宋体"/>
          <w:b w:val="0"/>
          <w:bCs/>
          <w:lang w:val="en-US" w:eastAsia="zh-CN"/>
        </w:rPr>
      </w:pPr>
      <w:bookmarkStart w:id="168" w:name="_Toc59001941"/>
      <w:bookmarkStart w:id="169" w:name="_Toc5518"/>
      <w:r>
        <w:rPr>
          <w:rFonts w:hint="eastAsia" w:ascii="宋体" w:hAnsi="宋体" w:eastAsia="宋体" w:cs="宋体"/>
          <w:b w:val="0"/>
          <w:bCs/>
        </w:rPr>
        <w:t>①</w:t>
      </w:r>
      <w:r>
        <w:rPr>
          <w:rFonts w:hint="eastAsia" w:ascii="宋体" w:hAnsi="宋体" w:eastAsia="宋体" w:cs="宋体"/>
          <w:b w:val="0"/>
          <w:bCs/>
          <w:lang w:val="en-US" w:eastAsia="zh-CN"/>
        </w:rPr>
        <w:t xml:space="preserve"> </w:t>
      </w:r>
      <w:bookmarkEnd w:id="165"/>
      <w:bookmarkEnd w:id="166"/>
      <w:bookmarkEnd w:id="167"/>
      <w:bookmarkEnd w:id="168"/>
      <w:bookmarkEnd w:id="169"/>
      <w:bookmarkStart w:id="170" w:name="_Toc514765592"/>
      <w:bookmarkStart w:id="171" w:name="_Toc514530226"/>
      <w:bookmarkStart w:id="172" w:name="_Toc516654704"/>
      <w:r>
        <w:rPr>
          <w:rFonts w:hint="eastAsia" w:ascii="宋体" w:hAnsi="宋体" w:eastAsia="宋体" w:cs="宋体"/>
          <w:b w:val="0"/>
          <w:bCs/>
        </w:rPr>
        <w:t>废气监测结论</w:t>
      </w:r>
      <w:r>
        <w:rPr>
          <w:rFonts w:hint="eastAsia" w:ascii="宋体" w:hAnsi="宋体" w:eastAsia="宋体" w:cs="宋体"/>
          <w:b w:val="0"/>
          <w:bCs/>
          <w:lang w:val="en-US" w:eastAsia="zh-CN"/>
        </w:rPr>
        <w:t>:</w:t>
      </w:r>
    </w:p>
    <w:bookmarkEnd w:id="170"/>
    <w:bookmarkEnd w:id="171"/>
    <w:bookmarkEnd w:id="172"/>
    <w:p>
      <w:pPr>
        <w:spacing w:line="360" w:lineRule="auto"/>
        <w:ind w:left="0" w:leftChars="0" w:firstLine="480" w:firstLineChars="200"/>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根据监测数据，</w:t>
      </w:r>
      <w:r>
        <w:rPr>
          <w:rFonts w:hint="eastAsia" w:ascii="宋体" w:hAnsi="宋体" w:eastAsia="宋体" w:cs="宋体"/>
          <w:color w:val="000000" w:themeColor="text1"/>
          <w:lang w:val="en-US" w:eastAsia="zh-CN"/>
          <w14:textFill>
            <w14:solidFill>
              <w14:schemeClr w14:val="tx1"/>
            </w14:solidFill>
          </w14:textFill>
        </w:rPr>
        <w:t>项目周界</w:t>
      </w:r>
      <w:r>
        <w:rPr>
          <w:rFonts w:hint="eastAsia" w:ascii="宋体" w:hAnsi="宋体" w:eastAsia="宋体" w:cs="宋体"/>
          <w:color w:val="000000" w:themeColor="text1"/>
          <w14:textFill>
            <w14:solidFill>
              <w14:schemeClr w14:val="tx1"/>
            </w14:solidFill>
          </w14:textFill>
        </w:rPr>
        <w:t>无组织废气中：颗粒物最大</w:t>
      </w:r>
      <w:r>
        <w:rPr>
          <w:rFonts w:ascii="宋体" w:hAnsi="宋体" w:eastAsia="宋体" w:cs="宋体"/>
          <w:color w:val="000000" w:themeColor="text1"/>
          <w14:textFill>
            <w14:solidFill>
              <w14:schemeClr w14:val="tx1"/>
            </w14:solidFill>
          </w14:textFill>
        </w:rPr>
        <w:t>排放</w:t>
      </w:r>
      <w:r>
        <w:rPr>
          <w:rFonts w:hint="eastAsia" w:ascii="宋体" w:hAnsi="宋体" w:eastAsia="宋体" w:cs="宋体"/>
          <w:color w:val="000000" w:themeColor="text1"/>
          <w14:textFill>
            <w14:solidFill>
              <w14:schemeClr w14:val="tx1"/>
            </w14:solidFill>
          </w14:textFill>
        </w:rPr>
        <w:t>浓度</w:t>
      </w:r>
      <w:r>
        <w:rPr>
          <w:rFonts w:hint="eastAsia" w:ascii="宋体" w:hAnsi="宋体" w:eastAsia="宋体" w:cs="宋体"/>
          <w:color w:val="000000" w:themeColor="text1"/>
          <w:lang w:eastAsia="zh-CN"/>
          <w14:textFill>
            <w14:solidFill>
              <w14:schemeClr w14:val="tx1"/>
            </w14:solidFill>
          </w14:textFill>
        </w:rPr>
        <w:t>：</w:t>
      </w:r>
      <w:r>
        <w:rPr>
          <w:rFonts w:hint="eastAsia" w:ascii="宋体" w:hAnsi="宋体" w:eastAsia="宋体" w:cs="宋体"/>
          <w:color w:val="000000" w:themeColor="text1"/>
          <w:lang w:val="en-US" w:eastAsia="zh-CN"/>
          <w14:textFill>
            <w14:solidFill>
              <w14:schemeClr w14:val="tx1"/>
            </w14:solidFill>
          </w14:textFill>
        </w:rPr>
        <w:t xml:space="preserve">0.234 </w:t>
      </w:r>
      <w:r>
        <w:rPr>
          <w:rFonts w:hint="eastAsia" w:ascii="宋体" w:hAnsi="宋体" w:eastAsia="宋体" w:cs="宋体"/>
          <w:color w:val="000000" w:themeColor="text1"/>
          <w14:textFill>
            <w14:solidFill>
              <w14:schemeClr w14:val="tx1"/>
            </w14:solidFill>
          </w14:textFill>
        </w:rPr>
        <w:t>mg/m</w:t>
      </w:r>
      <w:r>
        <w:rPr>
          <w:rFonts w:hint="eastAsia" w:ascii="宋体" w:hAnsi="宋体" w:eastAsia="宋体" w:cs="宋体"/>
          <w:color w:val="000000" w:themeColor="text1"/>
          <w:vertAlign w:val="superscript"/>
          <w14:textFill>
            <w14:solidFill>
              <w14:schemeClr w14:val="tx1"/>
            </w14:solidFill>
          </w14:textFill>
        </w:rPr>
        <w:t>3</w:t>
      </w:r>
      <w:r>
        <w:rPr>
          <w:rFonts w:hint="eastAsia" w:ascii="宋体" w:hAnsi="宋体" w:eastAsia="宋体" w:cs="宋体"/>
          <w:color w:val="000000" w:themeColor="text1"/>
          <w14:textFill>
            <w14:solidFill>
              <w14:schemeClr w14:val="tx1"/>
            </w14:solidFill>
          </w14:textFill>
        </w:rPr>
        <w:t>；符合《大气污染物综合排放标准》（GB16297-1996）表2中厂界</w:t>
      </w:r>
      <w:r>
        <w:rPr>
          <w:rFonts w:ascii="宋体" w:hAnsi="宋体" w:eastAsia="宋体" w:cs="宋体"/>
          <w:color w:val="000000" w:themeColor="text1"/>
          <w14:textFill>
            <w14:solidFill>
              <w14:schemeClr w14:val="tx1"/>
            </w14:solidFill>
          </w14:textFill>
        </w:rPr>
        <w:t>无组织颗粒物最高允许排放浓度</w:t>
      </w:r>
      <w:r>
        <w:rPr>
          <w:rFonts w:hint="eastAsia" w:ascii="宋体" w:hAnsi="宋体" w:eastAsia="宋体" w:cs="宋体"/>
          <w:color w:val="000000" w:themeColor="text1"/>
          <w14:textFill>
            <w14:solidFill>
              <w14:schemeClr w14:val="tx1"/>
            </w14:solidFill>
          </w14:textFill>
        </w:rPr>
        <w:t>限值</w:t>
      </w:r>
      <w:r>
        <w:rPr>
          <w:rFonts w:ascii="宋体" w:hAnsi="宋体" w:eastAsia="宋体" w:cs="宋体"/>
          <w:color w:val="000000" w:themeColor="text1"/>
          <w14:textFill>
            <w14:solidFill>
              <w14:schemeClr w14:val="tx1"/>
            </w14:solidFill>
          </w14:textFill>
        </w:rPr>
        <w:t>。</w:t>
      </w:r>
    </w:p>
    <w:p>
      <w:pPr>
        <w:spacing w:line="360" w:lineRule="auto"/>
        <w:ind w:firstLine="480"/>
        <w:rPr>
          <w:rFonts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项目周界NH</w:t>
      </w:r>
      <w:r>
        <w:rPr>
          <w:rFonts w:hint="eastAsia" w:ascii="宋体" w:hAnsi="宋体" w:eastAsia="宋体" w:cs="宋体"/>
          <w:color w:val="000000" w:themeColor="text1"/>
          <w:vertAlign w:val="subscript"/>
          <w:lang w:val="en-US" w:eastAsia="zh-CN"/>
          <w14:textFill>
            <w14:solidFill>
              <w14:schemeClr w14:val="tx1"/>
            </w14:solidFill>
          </w14:textFill>
        </w:rPr>
        <w:t>3</w:t>
      </w:r>
      <w:r>
        <w:rPr>
          <w:rFonts w:hint="eastAsia" w:ascii="宋体" w:hAnsi="宋体" w:eastAsia="宋体" w:cs="宋体"/>
          <w:color w:val="000000" w:themeColor="text1"/>
          <w:vertAlign w:val="baseline"/>
          <w:lang w:val="en-US" w:eastAsia="zh-CN"/>
          <w14:textFill>
            <w14:solidFill>
              <w14:schemeClr w14:val="tx1"/>
            </w14:solidFill>
          </w14:textFill>
        </w:rPr>
        <w:t>检出</w:t>
      </w:r>
      <w:r>
        <w:rPr>
          <w:rFonts w:ascii="宋体" w:hAnsi="宋体" w:eastAsia="宋体" w:cs="宋体"/>
          <w:color w:val="000000" w:themeColor="text1"/>
          <w14:textFill>
            <w14:solidFill>
              <w14:schemeClr w14:val="tx1"/>
            </w14:solidFill>
          </w14:textFill>
        </w:rPr>
        <w:t>最大浓度</w:t>
      </w:r>
      <w:r>
        <w:rPr>
          <w:rFonts w:hint="eastAsia" w:ascii="宋体" w:hAnsi="宋体" w:eastAsia="宋体" w:cs="宋体"/>
          <w:color w:val="000000" w:themeColor="text1"/>
          <w:lang w:val="en-US" w:eastAsia="zh-CN"/>
          <w14:textFill>
            <w14:solidFill>
              <w14:schemeClr w14:val="tx1"/>
            </w14:solidFill>
          </w14:textFill>
        </w:rPr>
        <w:t>为 0.07</w:t>
      </w:r>
      <w:r>
        <w:rPr>
          <w:rFonts w:hint="eastAsia" w:ascii="宋体" w:hAnsi="宋体" w:eastAsia="宋体" w:cs="宋体"/>
          <w:color w:val="000000" w:themeColor="text1"/>
          <w14:textFill>
            <w14:solidFill>
              <w14:schemeClr w14:val="tx1"/>
            </w14:solidFill>
          </w14:textFill>
        </w:rPr>
        <w:t>mg</w:t>
      </w:r>
      <w:r>
        <w:rPr>
          <w:rFonts w:ascii="宋体" w:hAnsi="宋体" w:eastAsia="宋体" w:cs="宋体"/>
          <w:color w:val="000000" w:themeColor="text1"/>
          <w14:textFill>
            <w14:solidFill>
              <w14:schemeClr w14:val="tx1"/>
            </w14:solidFill>
          </w14:textFill>
        </w:rPr>
        <w:t>/m</w:t>
      </w:r>
      <w:r>
        <w:rPr>
          <w:rFonts w:ascii="宋体" w:hAnsi="宋体" w:eastAsia="宋体" w:cs="宋体"/>
          <w:color w:val="000000" w:themeColor="text1"/>
          <w:vertAlign w:val="superscript"/>
          <w14:textFill>
            <w14:solidFill>
              <w14:schemeClr w14:val="tx1"/>
            </w14:solidFill>
          </w14:textFill>
        </w:rPr>
        <w:t>3</w:t>
      </w:r>
      <w:r>
        <w:rPr>
          <w:rFonts w:hint="eastAsia" w:ascii="宋体" w:hAnsi="宋体" w:eastAsia="宋体" w:cs="宋体"/>
          <w:color w:val="000000" w:themeColor="text1"/>
          <w:vertAlign w:val="baseline"/>
          <w:lang w:eastAsia="zh-CN"/>
          <w14:textFill>
            <w14:solidFill>
              <w14:schemeClr w14:val="tx1"/>
            </w14:solidFill>
          </w14:textFill>
        </w:rPr>
        <w:t>；</w:t>
      </w:r>
      <w:r>
        <w:rPr>
          <w:rFonts w:hint="eastAsia" w:ascii="宋体" w:hAnsi="宋体" w:eastAsia="宋体" w:cs="宋体"/>
          <w:color w:val="000000" w:themeColor="text1"/>
          <w:vertAlign w:val="baseline"/>
          <w:lang w:val="en-US" w:eastAsia="zh-CN"/>
          <w14:textFill>
            <w14:solidFill>
              <w14:schemeClr w14:val="tx1"/>
            </w14:solidFill>
          </w14:textFill>
        </w:rPr>
        <w:t>H</w:t>
      </w:r>
      <w:r>
        <w:rPr>
          <w:rFonts w:hint="eastAsia" w:ascii="宋体" w:hAnsi="宋体" w:eastAsia="宋体" w:cs="宋体"/>
          <w:color w:val="000000" w:themeColor="text1"/>
          <w:vertAlign w:val="subscript"/>
          <w:lang w:val="en-US" w:eastAsia="zh-CN"/>
          <w14:textFill>
            <w14:solidFill>
              <w14:schemeClr w14:val="tx1"/>
            </w14:solidFill>
          </w14:textFill>
        </w:rPr>
        <w:t>2</w:t>
      </w:r>
      <w:r>
        <w:rPr>
          <w:rFonts w:hint="eastAsia" w:ascii="宋体" w:hAnsi="宋体" w:eastAsia="宋体" w:cs="宋体"/>
          <w:color w:val="000000" w:themeColor="text1"/>
          <w:vertAlign w:val="baseline"/>
          <w:lang w:val="en-US" w:eastAsia="zh-CN"/>
          <w14:textFill>
            <w14:solidFill>
              <w14:schemeClr w14:val="tx1"/>
            </w14:solidFill>
          </w14:textFill>
        </w:rPr>
        <w:t>S 为未检出；</w:t>
      </w:r>
      <w:r>
        <w:rPr>
          <w:rFonts w:hint="eastAsia" w:ascii="宋体" w:hAnsi="宋体" w:eastAsia="宋体" w:cs="宋体"/>
          <w:color w:val="000000" w:themeColor="text1"/>
          <w:lang w:val="en-US" w:eastAsia="zh-CN"/>
          <w14:textFill>
            <w14:solidFill>
              <w14:schemeClr w14:val="tx1"/>
            </w14:solidFill>
          </w14:textFill>
        </w:rPr>
        <w:t>NH</w:t>
      </w:r>
      <w:r>
        <w:rPr>
          <w:rFonts w:hint="eastAsia" w:ascii="宋体" w:hAnsi="宋体" w:eastAsia="宋体" w:cs="宋体"/>
          <w:color w:val="000000" w:themeColor="text1"/>
          <w:vertAlign w:val="subscript"/>
          <w:lang w:val="en-US" w:eastAsia="zh-CN"/>
          <w14:textFill>
            <w14:solidFill>
              <w14:schemeClr w14:val="tx1"/>
            </w14:solidFill>
          </w14:textFill>
        </w:rPr>
        <w:t>3</w:t>
      </w:r>
      <w:r>
        <w:rPr>
          <w:rFonts w:hint="eastAsia" w:ascii="宋体" w:hAnsi="宋体" w:eastAsia="宋体" w:cs="宋体"/>
          <w:color w:val="000000" w:themeColor="text1"/>
          <w:vertAlign w:val="baseline"/>
          <w:lang w:val="en-US" w:eastAsia="zh-CN"/>
          <w14:textFill>
            <w14:solidFill>
              <w14:schemeClr w14:val="tx1"/>
            </w14:solidFill>
          </w14:textFill>
        </w:rPr>
        <w:t>和H</w:t>
      </w:r>
      <w:r>
        <w:rPr>
          <w:rFonts w:hint="eastAsia" w:ascii="宋体" w:hAnsi="宋体" w:eastAsia="宋体" w:cs="宋体"/>
          <w:color w:val="000000" w:themeColor="text1"/>
          <w:vertAlign w:val="subscript"/>
          <w:lang w:val="en-US" w:eastAsia="zh-CN"/>
          <w14:textFill>
            <w14:solidFill>
              <w14:schemeClr w14:val="tx1"/>
            </w14:solidFill>
          </w14:textFill>
        </w:rPr>
        <w:t>2</w:t>
      </w:r>
      <w:r>
        <w:rPr>
          <w:rFonts w:hint="eastAsia" w:ascii="宋体" w:hAnsi="宋体" w:eastAsia="宋体" w:cs="宋体"/>
          <w:color w:val="000000" w:themeColor="text1"/>
          <w:vertAlign w:val="baseline"/>
          <w:lang w:val="en-US" w:eastAsia="zh-CN"/>
          <w14:textFill>
            <w14:solidFill>
              <w14:schemeClr w14:val="tx1"/>
            </w14:solidFill>
          </w14:textFill>
        </w:rPr>
        <w:t>S均</w:t>
      </w:r>
      <w:r>
        <w:rPr>
          <w:rFonts w:hint="eastAsia" w:ascii="宋体" w:hAnsi="宋体" w:eastAsia="宋体" w:cs="宋体"/>
          <w:color w:val="000000" w:themeColor="text1"/>
          <w14:textFill>
            <w14:solidFill>
              <w14:schemeClr w14:val="tx1"/>
            </w14:solidFill>
          </w14:textFill>
        </w:rPr>
        <w:t>符合</w:t>
      </w:r>
      <w:r>
        <w:rPr>
          <w:rFonts w:hint="eastAsia" w:ascii="宋体" w:hAnsi="宋体" w:eastAsia="宋体" w:cs="宋体"/>
          <w:color w:val="000000" w:themeColor="text1"/>
          <w:lang w:val="en-US" w:eastAsia="zh-CN"/>
          <w14:textFill>
            <w14:solidFill>
              <w14:schemeClr w14:val="tx1"/>
            </w14:solidFill>
          </w14:textFill>
        </w:rPr>
        <w:t xml:space="preserve"> </w:t>
      </w:r>
      <w:r>
        <w:rPr>
          <w:rFonts w:hint="eastAsia" w:asciiTheme="minorEastAsia" w:hAnsiTheme="minorEastAsia" w:eastAsiaTheme="minorEastAsia" w:cstheme="minorEastAsia"/>
          <w:sz w:val="21"/>
          <w:szCs w:val="21"/>
          <w:vertAlign w:val="baseline"/>
          <w:lang w:val="en-US" w:eastAsia="zh-CN"/>
        </w:rPr>
        <w:t>《恶臭污染物排放标准》（GB14554-93）中表1中二级新扩改建项目厂界标准值</w:t>
      </w:r>
      <w:r>
        <w:rPr>
          <w:rFonts w:ascii="宋体" w:hAnsi="宋体" w:eastAsia="宋体" w:cs="宋体"/>
          <w:color w:val="000000" w:themeColor="text1"/>
          <w14:textFill>
            <w14:solidFill>
              <w14:schemeClr w14:val="tx1"/>
            </w14:solidFill>
          </w14:textFill>
        </w:rPr>
        <w:t>。</w:t>
      </w:r>
    </w:p>
    <w:p>
      <w:pPr>
        <w:spacing w:line="360" w:lineRule="auto"/>
        <w:ind w:firstLine="480"/>
        <w:rPr>
          <w:rFonts w:ascii="宋体" w:hAnsi="宋体" w:eastAsia="宋体" w:cs="宋体"/>
        </w:rPr>
      </w:pPr>
      <w:r>
        <w:rPr>
          <w:rFonts w:hint="eastAsia" w:ascii="宋体" w:hAnsi="宋体" w:eastAsia="宋体" w:cs="宋体"/>
          <w:color w:val="000000" w:themeColor="text1"/>
          <w:lang w:val="en-US" w:eastAsia="zh-CN"/>
          <w14:textFill>
            <w14:solidFill>
              <w14:schemeClr w14:val="tx1"/>
            </w14:solidFill>
          </w14:textFill>
        </w:rPr>
        <w:t>项目周界</w:t>
      </w:r>
      <w:r>
        <w:rPr>
          <w:rFonts w:ascii="宋体" w:hAnsi="宋体" w:eastAsia="宋体" w:cs="宋体"/>
          <w:color w:val="000000" w:themeColor="text1"/>
          <w14:textFill>
            <w14:solidFill>
              <w14:schemeClr w14:val="tx1"/>
            </w14:solidFill>
          </w14:textFill>
        </w:rPr>
        <w:t>无组织</w:t>
      </w:r>
      <w:r>
        <w:rPr>
          <w:rFonts w:hint="eastAsia" w:ascii="宋体" w:hAnsi="宋体" w:eastAsia="宋体" w:cs="宋体"/>
          <w:color w:val="000000" w:themeColor="text1"/>
          <w:lang w:val="en-US" w:eastAsia="zh-CN"/>
          <w14:textFill>
            <w14:solidFill>
              <w14:schemeClr w14:val="tx1"/>
            </w14:solidFill>
          </w14:textFill>
        </w:rPr>
        <w:t>臭气浓度</w:t>
      </w:r>
      <w:r>
        <w:rPr>
          <w:rFonts w:hint="eastAsia" w:ascii="宋体" w:hAnsi="宋体" w:eastAsia="宋体" w:cs="宋体"/>
          <w:color w:val="000000" w:themeColor="text1"/>
          <w14:textFill>
            <w14:solidFill>
              <w14:schemeClr w14:val="tx1"/>
            </w14:solidFill>
          </w14:textFill>
        </w:rPr>
        <w:t>最大</w:t>
      </w:r>
      <w:r>
        <w:rPr>
          <w:rFonts w:hint="eastAsia" w:ascii="宋体" w:hAnsi="宋体" w:eastAsia="宋体" w:cs="宋体"/>
          <w:color w:val="000000" w:themeColor="text1"/>
          <w:lang w:val="en-US" w:eastAsia="zh-CN"/>
          <w14:textFill>
            <w14:solidFill>
              <w14:schemeClr w14:val="tx1"/>
            </w14:solidFill>
          </w14:textFill>
        </w:rPr>
        <w:t>值为：18（无量纲）</w:t>
      </w:r>
      <w:r>
        <w:rPr>
          <w:rFonts w:hint="eastAsia" w:ascii="宋体" w:hAnsi="宋体" w:eastAsia="宋体" w:cs="宋体"/>
        </w:rPr>
        <w:t>符合浙江省</w:t>
      </w:r>
      <w:r>
        <w:rPr>
          <w:rFonts w:hint="eastAsia" w:asciiTheme="minorEastAsia" w:hAnsiTheme="minorEastAsia" w:eastAsiaTheme="minorEastAsia" w:cstheme="minorEastAsia"/>
          <w:sz w:val="24"/>
          <w:szCs w:val="24"/>
          <w:vertAlign w:val="baseline"/>
          <w:lang w:val="en-US" w:eastAsia="zh-CN"/>
        </w:rPr>
        <w:t>《畜禽养殖业污染物排放标准》（DB33/593-2005）</w:t>
      </w:r>
      <w:r>
        <w:rPr>
          <w:rFonts w:hint="eastAsia" w:ascii="宋体" w:hAnsi="宋体" w:eastAsia="宋体" w:cs="宋体"/>
        </w:rPr>
        <w:t>企业边界</w:t>
      </w:r>
      <w:r>
        <w:rPr>
          <w:rFonts w:ascii="宋体" w:hAnsi="宋体" w:eastAsia="宋体" w:cs="宋体"/>
        </w:rPr>
        <w:t>大气污染物浓度</w:t>
      </w:r>
      <w:r>
        <w:rPr>
          <w:rFonts w:hint="eastAsia" w:ascii="宋体" w:hAnsi="宋体" w:eastAsia="宋体" w:cs="宋体"/>
          <w:lang w:val="en-US" w:eastAsia="zh-CN"/>
        </w:rPr>
        <w:t>60</w:t>
      </w:r>
      <w:r>
        <w:rPr>
          <w:rFonts w:hint="eastAsia" w:ascii="宋体" w:hAnsi="宋体" w:eastAsia="宋体" w:cs="宋体"/>
          <w:color w:val="000000" w:themeColor="text1"/>
          <w:lang w:val="en-US" w:eastAsia="zh-CN"/>
          <w14:textFill>
            <w14:solidFill>
              <w14:schemeClr w14:val="tx1"/>
            </w14:solidFill>
          </w14:textFill>
        </w:rPr>
        <w:t>（无量纲）的标准</w:t>
      </w:r>
      <w:r>
        <w:rPr>
          <w:rFonts w:ascii="宋体" w:hAnsi="宋体" w:eastAsia="宋体" w:cs="宋体"/>
        </w:rPr>
        <w:t>限值</w:t>
      </w:r>
      <w:r>
        <w:rPr>
          <w:rFonts w:hint="eastAsia" w:ascii="宋体" w:hAnsi="宋体" w:eastAsia="宋体" w:cs="宋体"/>
        </w:rPr>
        <w:t>。</w:t>
      </w:r>
    </w:p>
    <w:p>
      <w:pPr>
        <w:spacing w:line="360" w:lineRule="auto"/>
        <w:ind w:firstLine="480"/>
        <w:rPr>
          <w:rFonts w:hint="eastAsia" w:asciiTheme="minorEastAsia" w:hAnsiTheme="minorEastAsia" w:eastAsiaTheme="minorEastAsia" w:cstheme="minorEastAsia"/>
          <w:color w:val="0000FF"/>
          <w:sz w:val="24"/>
          <w:szCs w:val="24"/>
        </w:rPr>
      </w:pPr>
      <w:r>
        <w:rPr>
          <w:rFonts w:hint="eastAsia" w:asciiTheme="minorEastAsia" w:hAnsiTheme="minorEastAsia" w:eastAsiaTheme="minorEastAsia" w:cstheme="minorEastAsia"/>
          <w:sz w:val="24"/>
          <w:szCs w:val="24"/>
        </w:rPr>
        <w:t>有组织废气中：</w:t>
      </w:r>
      <w:r>
        <w:rPr>
          <w:rFonts w:hint="eastAsia" w:asciiTheme="minorEastAsia" w:hAnsiTheme="minorEastAsia" w:eastAsiaTheme="minorEastAsia" w:cstheme="minorEastAsia"/>
          <w:sz w:val="24"/>
          <w:szCs w:val="24"/>
          <w:lang w:val="en-US" w:eastAsia="zh-CN"/>
        </w:rPr>
        <w:t>颗粒物</w:t>
      </w:r>
      <w:r>
        <w:rPr>
          <w:rFonts w:hint="eastAsia" w:asciiTheme="minorEastAsia" w:hAnsiTheme="minorEastAsia" w:eastAsiaTheme="minorEastAsia" w:cstheme="minorEastAsia"/>
          <w:sz w:val="24"/>
          <w:szCs w:val="24"/>
        </w:rPr>
        <w:t>最大排放浓度均</w:t>
      </w:r>
      <w:r>
        <w:rPr>
          <w:rFonts w:hint="eastAsia" w:asciiTheme="minorEastAsia" w:hAnsiTheme="minorEastAsia" w:eastAsiaTheme="minorEastAsia" w:cstheme="minorEastAsia"/>
          <w:sz w:val="24"/>
          <w:szCs w:val="24"/>
          <w:lang w:val="en-US" w:eastAsia="zh-CN"/>
        </w:rPr>
        <w:t>符合</w:t>
      </w:r>
      <w:r>
        <w:rPr>
          <w:rFonts w:hint="eastAsia" w:asciiTheme="minorEastAsia" w:hAnsiTheme="minorEastAsia" w:eastAsiaTheme="minorEastAsia" w:cstheme="minorEastAsia"/>
          <w:color w:val="000000" w:themeColor="text1"/>
          <w:sz w:val="24"/>
          <w:szCs w:val="24"/>
          <w14:textFill>
            <w14:solidFill>
              <w14:schemeClr w14:val="tx1"/>
            </w14:solidFill>
          </w14:textFill>
        </w:rPr>
        <w:t>《大气污染物综合排放标准》（GB16297-1996）表2中</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的排放限值要求。</w:t>
      </w:r>
    </w:p>
    <w:p>
      <w:pPr>
        <w:spacing w:line="360" w:lineRule="auto"/>
        <w:ind w:firstLine="0" w:firstLineChars="0"/>
        <w:jc w:val="center"/>
        <w:rPr>
          <w:rFonts w:hint="eastAsia" w:ascii="宋体" w:hAnsi="宋体" w:eastAsia="宋体" w:cs="宋体"/>
          <w:b w:val="0"/>
          <w:bCs w:val="0"/>
          <w:lang w:eastAsia="zh-CN"/>
        </w:rPr>
      </w:pPr>
      <w:r>
        <w:rPr>
          <w:rFonts w:hint="eastAsia" w:ascii="宋体" w:hAnsi="宋体" w:eastAsia="宋体" w:cs="宋体"/>
          <w:b w:val="0"/>
          <w:bCs w:val="0"/>
        </w:rPr>
        <w:t>表</w:t>
      </w:r>
      <w:r>
        <w:rPr>
          <w:rFonts w:hint="eastAsia" w:ascii="宋体" w:hAnsi="宋体" w:eastAsia="宋体" w:cs="宋体"/>
          <w:b w:val="0"/>
          <w:bCs w:val="0"/>
          <w:lang w:val="en-US" w:eastAsia="zh-CN"/>
        </w:rPr>
        <w:t>7.1</w:t>
      </w:r>
      <w:r>
        <w:rPr>
          <w:rFonts w:hint="eastAsia" w:ascii="宋体" w:hAnsi="宋体" w:eastAsia="宋体" w:cs="宋体"/>
          <w:b w:val="0"/>
          <w:bCs w:val="0"/>
        </w:rPr>
        <w:t>-1  无组织废气污染物最大排放浓度一览表</w:t>
      </w:r>
    </w:p>
    <w:tbl>
      <w:tblPr>
        <w:tblStyle w:val="23"/>
        <w:tblW w:w="8220" w:type="dxa"/>
        <w:tblInd w:w="12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7"/>
        <w:gridCol w:w="2812"/>
        <w:gridCol w:w="2433"/>
        <w:gridCol w:w="14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监测项目</w:t>
            </w:r>
          </w:p>
        </w:tc>
        <w:tc>
          <w:tcPr>
            <w:tcW w:w="2812" w:type="dxa"/>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最大排放浓度（mg/m³）</w:t>
            </w:r>
          </w:p>
        </w:tc>
        <w:tc>
          <w:tcPr>
            <w:tcW w:w="2433" w:type="dxa"/>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标准限值（mg/m³）</w:t>
            </w:r>
          </w:p>
        </w:tc>
        <w:tc>
          <w:tcPr>
            <w:tcW w:w="1408" w:type="dxa"/>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567" w:type="dxa"/>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颗粒物</w:t>
            </w:r>
          </w:p>
        </w:tc>
        <w:tc>
          <w:tcPr>
            <w:tcW w:w="2812" w:type="dxa"/>
            <w:vAlign w:val="center"/>
          </w:tcPr>
          <w:p>
            <w:pPr>
              <w:widowControl/>
              <w:adjustRightInd w:val="0"/>
              <w:snapToGrid w:val="0"/>
              <w:spacing w:line="240" w:lineRule="auto"/>
              <w:ind w:firstLine="0" w:firstLineChars="0"/>
              <w:jc w:val="center"/>
              <w:rPr>
                <w:rFonts w:hint="default" w:ascii="宋体" w:hAnsi="宋体" w:eastAsia="宋体" w:cs="宋体"/>
                <w:b w:val="0"/>
                <w:bCs w:val="0"/>
                <w:kern w:val="0"/>
                <w:lang w:val="en-US" w:eastAsia="zh-CN"/>
              </w:rPr>
            </w:pPr>
            <w:r>
              <w:rPr>
                <w:rFonts w:hint="eastAsia" w:ascii="宋体" w:hAnsi="宋体" w:eastAsia="宋体" w:cs="宋体"/>
                <w:b w:val="0"/>
                <w:bCs w:val="0"/>
                <w:kern w:val="0"/>
                <w:lang w:val="en-US" w:eastAsia="zh-CN"/>
              </w:rPr>
              <w:t>0.234</w:t>
            </w:r>
          </w:p>
        </w:tc>
        <w:tc>
          <w:tcPr>
            <w:tcW w:w="2433" w:type="dxa"/>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1.0</w:t>
            </w:r>
          </w:p>
        </w:tc>
        <w:tc>
          <w:tcPr>
            <w:tcW w:w="1408" w:type="dxa"/>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Align w:val="center"/>
          </w:tcPr>
          <w:p>
            <w:pPr>
              <w:widowControl/>
              <w:adjustRightInd w:val="0"/>
              <w:snapToGrid w:val="0"/>
              <w:spacing w:line="240" w:lineRule="auto"/>
              <w:ind w:firstLine="0" w:firstLineChars="0"/>
              <w:jc w:val="center"/>
              <w:rPr>
                <w:rFonts w:hint="default" w:ascii="宋体" w:hAnsi="宋体" w:eastAsia="宋体" w:cs="宋体"/>
                <w:b w:val="0"/>
                <w:bCs w:val="0"/>
                <w:kern w:val="0"/>
                <w:lang w:val="en-US" w:eastAsia="zh-CN"/>
              </w:rPr>
            </w:pPr>
            <w:r>
              <w:rPr>
                <w:rFonts w:hint="eastAsia" w:ascii="宋体" w:hAnsi="宋体" w:eastAsia="宋体" w:cs="宋体"/>
                <w:b w:val="0"/>
                <w:bCs w:val="0"/>
                <w:kern w:val="0"/>
                <w:lang w:val="en-US" w:eastAsia="zh-CN"/>
              </w:rPr>
              <w:t>NH</w:t>
            </w:r>
            <w:r>
              <w:rPr>
                <w:rFonts w:hint="eastAsia" w:ascii="宋体" w:hAnsi="宋体" w:eastAsia="宋体" w:cs="宋体"/>
                <w:b w:val="0"/>
                <w:bCs w:val="0"/>
                <w:kern w:val="0"/>
                <w:vertAlign w:val="subscript"/>
                <w:lang w:val="en-US" w:eastAsia="zh-CN"/>
              </w:rPr>
              <w:t>3</w:t>
            </w:r>
          </w:p>
        </w:tc>
        <w:tc>
          <w:tcPr>
            <w:tcW w:w="2812" w:type="dxa"/>
            <w:vAlign w:val="center"/>
          </w:tcPr>
          <w:p>
            <w:pPr>
              <w:widowControl/>
              <w:adjustRightInd w:val="0"/>
              <w:snapToGrid w:val="0"/>
              <w:spacing w:line="240" w:lineRule="auto"/>
              <w:ind w:firstLine="0" w:firstLineChars="0"/>
              <w:jc w:val="center"/>
              <w:rPr>
                <w:rFonts w:hint="default" w:ascii="宋体" w:hAnsi="宋体" w:eastAsia="宋体" w:cs="宋体"/>
                <w:b w:val="0"/>
                <w:bCs w:val="0"/>
                <w:kern w:val="0"/>
                <w:lang w:val="en-US" w:eastAsia="zh-CN"/>
              </w:rPr>
            </w:pPr>
            <w:r>
              <w:rPr>
                <w:rFonts w:hint="eastAsia" w:ascii="宋体" w:hAnsi="宋体" w:eastAsia="宋体" w:cs="宋体"/>
                <w:b w:val="0"/>
                <w:bCs w:val="0"/>
                <w:kern w:val="0"/>
                <w:lang w:val="en-US" w:eastAsia="zh-CN"/>
              </w:rPr>
              <w:t>0.07</w:t>
            </w:r>
          </w:p>
        </w:tc>
        <w:tc>
          <w:tcPr>
            <w:tcW w:w="2433" w:type="dxa"/>
            <w:vAlign w:val="center"/>
          </w:tcPr>
          <w:p>
            <w:pPr>
              <w:widowControl/>
              <w:adjustRightInd w:val="0"/>
              <w:snapToGrid w:val="0"/>
              <w:spacing w:line="240" w:lineRule="auto"/>
              <w:ind w:firstLine="0" w:firstLineChars="0"/>
              <w:jc w:val="center"/>
              <w:rPr>
                <w:rFonts w:hint="default" w:ascii="宋体" w:hAnsi="宋体" w:eastAsia="宋体" w:cs="宋体"/>
                <w:b w:val="0"/>
                <w:bCs w:val="0"/>
                <w:kern w:val="0"/>
                <w:lang w:val="en-US" w:eastAsia="zh-CN"/>
              </w:rPr>
            </w:pPr>
            <w:r>
              <w:rPr>
                <w:rFonts w:hint="eastAsia" w:ascii="宋体" w:hAnsi="宋体" w:eastAsia="宋体" w:cs="宋体"/>
                <w:b w:val="0"/>
                <w:bCs w:val="0"/>
                <w:kern w:val="0"/>
                <w:lang w:val="en-US" w:eastAsia="zh-CN"/>
              </w:rPr>
              <w:t>1.5</w:t>
            </w:r>
          </w:p>
        </w:tc>
        <w:tc>
          <w:tcPr>
            <w:tcW w:w="1408" w:type="dxa"/>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Align w:val="center"/>
          </w:tcPr>
          <w:p>
            <w:pPr>
              <w:widowControl/>
              <w:adjustRightInd w:val="0"/>
              <w:snapToGrid w:val="0"/>
              <w:spacing w:line="240" w:lineRule="auto"/>
              <w:ind w:firstLine="0" w:firstLineChars="0"/>
              <w:jc w:val="center"/>
              <w:rPr>
                <w:rFonts w:hint="default" w:ascii="宋体" w:hAnsi="宋体" w:eastAsia="宋体" w:cs="宋体"/>
                <w:b w:val="0"/>
                <w:bCs w:val="0"/>
                <w:kern w:val="0"/>
                <w:lang w:val="en-US" w:eastAsia="zh-CN"/>
              </w:rPr>
            </w:pPr>
            <w:r>
              <w:rPr>
                <w:rFonts w:hint="eastAsia" w:ascii="宋体" w:hAnsi="宋体" w:eastAsia="宋体" w:cs="宋体"/>
                <w:b w:val="0"/>
                <w:bCs w:val="0"/>
                <w:kern w:val="0"/>
                <w:lang w:val="en-US" w:eastAsia="zh-CN"/>
              </w:rPr>
              <w:t>H</w:t>
            </w:r>
            <w:r>
              <w:rPr>
                <w:rFonts w:hint="eastAsia" w:ascii="宋体" w:hAnsi="宋体" w:eastAsia="宋体" w:cs="宋体"/>
                <w:b w:val="0"/>
                <w:bCs w:val="0"/>
                <w:kern w:val="0"/>
                <w:vertAlign w:val="subscript"/>
                <w:lang w:val="en-US" w:eastAsia="zh-CN"/>
              </w:rPr>
              <w:t>2</w:t>
            </w:r>
            <w:r>
              <w:rPr>
                <w:rFonts w:hint="eastAsia" w:ascii="宋体" w:hAnsi="宋体" w:eastAsia="宋体" w:cs="宋体"/>
                <w:b w:val="0"/>
                <w:bCs w:val="0"/>
                <w:kern w:val="0"/>
                <w:lang w:val="en-US" w:eastAsia="zh-CN"/>
              </w:rPr>
              <w:t>S</w:t>
            </w:r>
          </w:p>
        </w:tc>
        <w:tc>
          <w:tcPr>
            <w:tcW w:w="2812" w:type="dxa"/>
            <w:vAlign w:val="center"/>
          </w:tcPr>
          <w:p>
            <w:pPr>
              <w:widowControl/>
              <w:adjustRightInd w:val="0"/>
              <w:snapToGrid w:val="0"/>
              <w:spacing w:line="240" w:lineRule="auto"/>
              <w:ind w:firstLine="0" w:firstLineChars="0"/>
              <w:jc w:val="center"/>
              <w:rPr>
                <w:rFonts w:hint="default" w:ascii="宋体" w:hAnsi="宋体" w:eastAsia="宋体" w:cs="宋体"/>
                <w:b w:val="0"/>
                <w:bCs w:val="0"/>
                <w:kern w:val="0"/>
                <w:lang w:val="en-US" w:eastAsia="zh-CN"/>
              </w:rPr>
            </w:pPr>
            <w:r>
              <w:rPr>
                <w:rFonts w:hint="eastAsia" w:ascii="宋体" w:hAnsi="宋体" w:eastAsia="宋体" w:cs="宋体"/>
                <w:b w:val="0"/>
                <w:bCs w:val="0"/>
                <w:kern w:val="0"/>
                <w:lang w:val="en-US" w:eastAsia="zh-CN"/>
              </w:rPr>
              <w:t>未检出</w:t>
            </w:r>
          </w:p>
        </w:tc>
        <w:tc>
          <w:tcPr>
            <w:tcW w:w="2433" w:type="dxa"/>
            <w:vAlign w:val="center"/>
          </w:tcPr>
          <w:p>
            <w:pPr>
              <w:widowControl/>
              <w:adjustRightInd w:val="0"/>
              <w:snapToGrid w:val="0"/>
              <w:spacing w:line="240" w:lineRule="auto"/>
              <w:ind w:firstLine="0" w:firstLineChars="0"/>
              <w:jc w:val="center"/>
              <w:rPr>
                <w:rFonts w:hint="default" w:ascii="宋体" w:hAnsi="宋体" w:eastAsia="宋体" w:cs="宋体"/>
                <w:b w:val="0"/>
                <w:bCs w:val="0"/>
                <w:kern w:val="0"/>
                <w:lang w:val="en-US" w:eastAsia="zh-CN"/>
              </w:rPr>
            </w:pPr>
            <w:r>
              <w:rPr>
                <w:rFonts w:hint="eastAsia" w:ascii="宋体" w:hAnsi="宋体" w:eastAsia="宋体" w:cs="宋体"/>
                <w:b w:val="0"/>
                <w:bCs w:val="0"/>
                <w:kern w:val="0"/>
                <w:lang w:val="en-US" w:eastAsia="zh-CN"/>
              </w:rPr>
              <w:t>0.06</w:t>
            </w:r>
          </w:p>
        </w:tc>
        <w:tc>
          <w:tcPr>
            <w:tcW w:w="1408" w:type="dxa"/>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vAlign w:val="center"/>
          </w:tcPr>
          <w:p>
            <w:pPr>
              <w:widowControl/>
              <w:adjustRightInd w:val="0"/>
              <w:snapToGrid w:val="0"/>
              <w:spacing w:line="240" w:lineRule="auto"/>
              <w:ind w:firstLine="0" w:firstLineChars="0"/>
              <w:jc w:val="center"/>
              <w:rPr>
                <w:rFonts w:hint="default" w:ascii="宋体" w:hAnsi="宋体" w:eastAsia="宋体" w:cs="宋体"/>
                <w:b w:val="0"/>
                <w:bCs w:val="0"/>
                <w:kern w:val="0"/>
                <w:lang w:val="en-US" w:eastAsia="zh-CN"/>
              </w:rPr>
            </w:pPr>
            <w:r>
              <w:rPr>
                <w:rFonts w:hint="eastAsia" w:ascii="宋体" w:hAnsi="宋体" w:eastAsia="宋体" w:cs="宋体"/>
                <w:b w:val="0"/>
                <w:bCs w:val="0"/>
                <w:kern w:val="0"/>
                <w:lang w:val="en-US" w:eastAsia="zh-CN"/>
              </w:rPr>
              <w:t>臭气浓度</w:t>
            </w:r>
          </w:p>
        </w:tc>
        <w:tc>
          <w:tcPr>
            <w:tcW w:w="2812" w:type="dxa"/>
            <w:vAlign w:val="center"/>
          </w:tcPr>
          <w:p>
            <w:pPr>
              <w:widowControl/>
              <w:adjustRightInd w:val="0"/>
              <w:snapToGrid w:val="0"/>
              <w:spacing w:line="240" w:lineRule="auto"/>
              <w:ind w:firstLine="0" w:firstLineChars="0"/>
              <w:jc w:val="center"/>
              <w:rPr>
                <w:rFonts w:hint="default" w:ascii="宋体" w:hAnsi="宋体" w:eastAsia="宋体" w:cs="宋体"/>
                <w:b w:val="0"/>
                <w:bCs w:val="0"/>
                <w:kern w:val="0"/>
                <w:lang w:val="en-US" w:eastAsia="zh-CN"/>
              </w:rPr>
            </w:pPr>
            <w:r>
              <w:rPr>
                <w:rFonts w:hint="eastAsia" w:ascii="宋体" w:hAnsi="宋体" w:eastAsia="宋体" w:cs="宋体"/>
                <w:b w:val="0"/>
                <w:bCs w:val="0"/>
                <w:kern w:val="0"/>
                <w:lang w:val="en-US" w:eastAsia="zh-CN"/>
              </w:rPr>
              <w:t>18</w:t>
            </w:r>
          </w:p>
        </w:tc>
        <w:tc>
          <w:tcPr>
            <w:tcW w:w="2433" w:type="dxa"/>
            <w:vAlign w:val="center"/>
          </w:tcPr>
          <w:p>
            <w:pPr>
              <w:widowControl/>
              <w:adjustRightInd w:val="0"/>
              <w:snapToGrid w:val="0"/>
              <w:spacing w:line="240" w:lineRule="auto"/>
              <w:ind w:firstLine="0" w:firstLineChars="0"/>
              <w:jc w:val="center"/>
              <w:rPr>
                <w:rFonts w:hint="default" w:ascii="宋体" w:hAnsi="宋体" w:eastAsia="宋体" w:cs="宋体"/>
                <w:b w:val="0"/>
                <w:bCs w:val="0"/>
                <w:kern w:val="0"/>
                <w:lang w:val="en-US" w:eastAsia="zh-CN"/>
              </w:rPr>
            </w:pPr>
            <w:r>
              <w:rPr>
                <w:rFonts w:hint="eastAsia" w:ascii="宋体" w:hAnsi="宋体" w:eastAsia="宋体" w:cs="宋体"/>
                <w:b w:val="0"/>
                <w:bCs w:val="0"/>
                <w:kern w:val="0"/>
                <w:lang w:val="en-US" w:eastAsia="zh-CN"/>
              </w:rPr>
              <w:t>60</w:t>
            </w:r>
          </w:p>
        </w:tc>
        <w:tc>
          <w:tcPr>
            <w:tcW w:w="1408" w:type="dxa"/>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合格</w:t>
            </w:r>
          </w:p>
        </w:tc>
      </w:tr>
    </w:tbl>
    <w:p>
      <w:pPr>
        <w:spacing w:line="360" w:lineRule="auto"/>
        <w:ind w:firstLine="0" w:firstLineChars="0"/>
        <w:jc w:val="center"/>
        <w:rPr>
          <w:rFonts w:ascii="宋体" w:hAnsi="宋体" w:eastAsia="宋体" w:cs="宋体"/>
          <w:b w:val="0"/>
          <w:bCs w:val="0"/>
        </w:rPr>
      </w:pPr>
      <w:r>
        <w:rPr>
          <w:rFonts w:hint="eastAsia" w:ascii="宋体" w:hAnsi="宋体" w:eastAsia="宋体" w:cs="宋体"/>
          <w:b w:val="0"/>
          <w:bCs w:val="0"/>
        </w:rPr>
        <w:t>表</w:t>
      </w:r>
      <w:r>
        <w:rPr>
          <w:rFonts w:hint="eastAsia" w:ascii="宋体" w:hAnsi="宋体" w:eastAsia="宋体" w:cs="宋体"/>
          <w:b w:val="0"/>
          <w:bCs w:val="0"/>
          <w:lang w:val="en-US" w:eastAsia="zh-CN"/>
        </w:rPr>
        <w:t>7.1</w:t>
      </w:r>
      <w:r>
        <w:rPr>
          <w:rFonts w:hint="eastAsia" w:ascii="宋体" w:hAnsi="宋体" w:eastAsia="宋体" w:cs="宋体"/>
          <w:b w:val="0"/>
          <w:bCs w:val="0"/>
        </w:rPr>
        <w:t>-2  有组织废气污染物最大排放浓度及排放限值一览表</w:t>
      </w:r>
    </w:p>
    <w:tbl>
      <w:tblPr>
        <w:tblStyle w:val="23"/>
        <w:tblW w:w="8220" w:type="dxa"/>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1"/>
        <w:gridCol w:w="1631"/>
        <w:gridCol w:w="1523"/>
        <w:gridCol w:w="1668"/>
        <w:gridCol w:w="1486"/>
        <w:gridCol w:w="5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351" w:type="dxa"/>
            <w:vMerge w:val="restart"/>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监测项目</w:t>
            </w:r>
          </w:p>
        </w:tc>
        <w:tc>
          <w:tcPr>
            <w:tcW w:w="3154" w:type="dxa"/>
            <w:gridSpan w:val="2"/>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lang w:val="en-US" w:eastAsia="zh-CN"/>
              </w:rPr>
              <w:t>除尘气进口</w:t>
            </w:r>
            <w:r>
              <w:rPr>
                <w:rFonts w:hint="eastAsia" w:ascii="宋体" w:hAnsi="宋体" w:eastAsia="宋体" w:cs="宋体"/>
                <w:b w:val="0"/>
                <w:bCs w:val="0"/>
                <w:kern w:val="0"/>
              </w:rPr>
              <w:t>监测最大数值</w:t>
            </w:r>
          </w:p>
        </w:tc>
        <w:tc>
          <w:tcPr>
            <w:tcW w:w="3154" w:type="dxa"/>
            <w:gridSpan w:val="2"/>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lang w:val="en-US" w:eastAsia="zh-CN"/>
              </w:rPr>
              <w:t>除尘气出口</w:t>
            </w:r>
            <w:r>
              <w:rPr>
                <w:rFonts w:hint="eastAsia" w:ascii="宋体" w:hAnsi="宋体" w:eastAsia="宋体" w:cs="宋体"/>
                <w:b w:val="0"/>
                <w:bCs w:val="0"/>
                <w:kern w:val="0"/>
              </w:rPr>
              <w:t>监测最大数值</w:t>
            </w:r>
          </w:p>
        </w:tc>
        <w:tc>
          <w:tcPr>
            <w:tcW w:w="561" w:type="dxa"/>
            <w:vMerge w:val="restart"/>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351" w:type="dxa"/>
            <w:vMerge w:val="continue"/>
            <w:vAlign w:val="center"/>
          </w:tcPr>
          <w:p>
            <w:pPr>
              <w:widowControl/>
              <w:adjustRightInd w:val="0"/>
              <w:snapToGrid w:val="0"/>
              <w:spacing w:line="240" w:lineRule="auto"/>
              <w:ind w:firstLine="0" w:firstLineChars="0"/>
              <w:jc w:val="center"/>
              <w:rPr>
                <w:rFonts w:ascii="宋体" w:hAnsi="宋体" w:eastAsia="宋体" w:cs="宋体"/>
                <w:b w:val="0"/>
                <w:bCs w:val="0"/>
              </w:rPr>
            </w:pPr>
          </w:p>
        </w:tc>
        <w:tc>
          <w:tcPr>
            <w:tcW w:w="1631" w:type="dxa"/>
            <w:vAlign w:val="center"/>
          </w:tcPr>
          <w:p>
            <w:pPr>
              <w:widowControl/>
              <w:adjustRightInd w:val="0"/>
              <w:snapToGrid w:val="0"/>
              <w:spacing w:line="240" w:lineRule="auto"/>
              <w:ind w:firstLine="0" w:firstLineChars="0"/>
              <w:rPr>
                <w:rFonts w:ascii="宋体" w:hAnsi="宋体" w:eastAsia="宋体" w:cs="宋体"/>
                <w:b w:val="0"/>
                <w:bCs w:val="0"/>
                <w:kern w:val="0"/>
              </w:rPr>
            </w:pPr>
            <w:r>
              <w:rPr>
                <w:rFonts w:hint="eastAsia" w:ascii="宋体" w:hAnsi="宋体" w:eastAsia="宋体" w:cs="宋体"/>
                <w:b w:val="0"/>
                <w:bCs w:val="0"/>
                <w:kern w:val="0"/>
              </w:rPr>
              <w:t>浓度（mg/m³）</w:t>
            </w:r>
          </w:p>
        </w:tc>
        <w:tc>
          <w:tcPr>
            <w:tcW w:w="1523" w:type="dxa"/>
            <w:vAlign w:val="center"/>
          </w:tcPr>
          <w:p>
            <w:pPr>
              <w:widowControl/>
              <w:adjustRightInd w:val="0"/>
              <w:snapToGrid w:val="0"/>
              <w:spacing w:line="240" w:lineRule="auto"/>
              <w:ind w:firstLine="0" w:firstLineChars="0"/>
              <w:rPr>
                <w:rFonts w:ascii="宋体" w:hAnsi="宋体" w:eastAsia="宋体" w:cs="宋体"/>
                <w:b w:val="0"/>
                <w:bCs w:val="0"/>
                <w:kern w:val="0"/>
              </w:rPr>
            </w:pPr>
            <w:r>
              <w:rPr>
                <w:rFonts w:hint="eastAsia" w:ascii="宋体" w:hAnsi="宋体" w:eastAsia="宋体" w:cs="宋体"/>
                <w:b w:val="0"/>
                <w:bCs w:val="0"/>
                <w:kern w:val="0"/>
              </w:rPr>
              <w:t>速率（kg/h）</w:t>
            </w:r>
          </w:p>
        </w:tc>
        <w:tc>
          <w:tcPr>
            <w:tcW w:w="1668" w:type="dxa"/>
            <w:vAlign w:val="center"/>
          </w:tcPr>
          <w:p>
            <w:pPr>
              <w:widowControl/>
              <w:adjustRightInd w:val="0"/>
              <w:snapToGrid w:val="0"/>
              <w:spacing w:line="240" w:lineRule="auto"/>
              <w:ind w:firstLine="0" w:firstLineChars="0"/>
              <w:rPr>
                <w:rFonts w:ascii="宋体" w:hAnsi="宋体" w:eastAsia="宋体" w:cs="宋体"/>
                <w:b w:val="0"/>
                <w:bCs w:val="0"/>
                <w:kern w:val="0"/>
              </w:rPr>
            </w:pPr>
            <w:r>
              <w:rPr>
                <w:rFonts w:hint="eastAsia" w:ascii="宋体" w:hAnsi="宋体" w:eastAsia="宋体" w:cs="宋体"/>
                <w:b w:val="0"/>
                <w:bCs w:val="0"/>
                <w:kern w:val="0"/>
              </w:rPr>
              <w:t>浓度（mg/m³）</w:t>
            </w:r>
          </w:p>
        </w:tc>
        <w:tc>
          <w:tcPr>
            <w:tcW w:w="1486" w:type="dxa"/>
            <w:vAlign w:val="center"/>
          </w:tcPr>
          <w:p>
            <w:pPr>
              <w:widowControl/>
              <w:adjustRightInd w:val="0"/>
              <w:snapToGrid w:val="0"/>
              <w:spacing w:line="240" w:lineRule="auto"/>
              <w:ind w:firstLine="0" w:firstLineChars="0"/>
              <w:rPr>
                <w:rFonts w:ascii="宋体" w:hAnsi="宋体" w:eastAsia="宋体" w:cs="宋体"/>
                <w:b w:val="0"/>
                <w:bCs w:val="0"/>
                <w:kern w:val="0"/>
              </w:rPr>
            </w:pPr>
            <w:r>
              <w:rPr>
                <w:rFonts w:hint="eastAsia" w:ascii="宋体" w:hAnsi="宋体" w:eastAsia="宋体" w:cs="宋体"/>
                <w:b w:val="0"/>
                <w:bCs w:val="0"/>
                <w:kern w:val="0"/>
              </w:rPr>
              <w:t>速率（kg/h）</w:t>
            </w:r>
          </w:p>
        </w:tc>
        <w:tc>
          <w:tcPr>
            <w:tcW w:w="561" w:type="dxa"/>
            <w:vMerge w:val="continue"/>
            <w:vAlign w:val="center"/>
          </w:tcPr>
          <w:p>
            <w:pPr>
              <w:widowControl/>
              <w:adjustRightInd w:val="0"/>
              <w:snapToGrid w:val="0"/>
              <w:spacing w:line="240" w:lineRule="auto"/>
              <w:ind w:firstLine="0" w:firstLineChars="0"/>
              <w:jc w:val="center"/>
              <w:rPr>
                <w:rFonts w:ascii="宋体" w:hAnsi="宋体" w:eastAsia="宋体" w:cs="宋体"/>
                <w:b w:val="0"/>
                <w:bCs w:val="0"/>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351" w:type="dxa"/>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颗粒物</w:t>
            </w:r>
          </w:p>
        </w:tc>
        <w:tc>
          <w:tcPr>
            <w:tcW w:w="1631" w:type="dxa"/>
            <w:vAlign w:val="center"/>
          </w:tcPr>
          <w:p>
            <w:pPr>
              <w:widowControl/>
              <w:adjustRightInd w:val="0"/>
              <w:snapToGrid w:val="0"/>
              <w:spacing w:line="240" w:lineRule="auto"/>
              <w:ind w:firstLine="0" w:firstLineChars="0"/>
              <w:jc w:val="center"/>
              <w:rPr>
                <w:rFonts w:hint="default" w:ascii="宋体" w:hAnsi="宋体" w:eastAsia="宋体" w:cs="宋体"/>
                <w:b w:val="0"/>
                <w:bCs w:val="0"/>
                <w:kern w:val="0"/>
                <w:lang w:val="en-US" w:eastAsia="zh-CN"/>
              </w:rPr>
            </w:pPr>
            <w:r>
              <w:rPr>
                <w:rFonts w:hint="eastAsia" w:ascii="宋体" w:hAnsi="宋体" w:eastAsia="宋体" w:cs="宋体"/>
                <w:b w:val="0"/>
                <w:bCs w:val="0"/>
                <w:kern w:val="0"/>
                <w:lang w:val="en-US" w:eastAsia="zh-CN"/>
              </w:rPr>
              <w:t>108</w:t>
            </w:r>
          </w:p>
        </w:tc>
        <w:tc>
          <w:tcPr>
            <w:tcW w:w="1523" w:type="dxa"/>
            <w:vAlign w:val="center"/>
          </w:tcPr>
          <w:p>
            <w:pPr>
              <w:widowControl/>
              <w:adjustRightInd w:val="0"/>
              <w:snapToGrid w:val="0"/>
              <w:spacing w:line="240" w:lineRule="auto"/>
              <w:ind w:firstLine="0" w:firstLineChars="0"/>
              <w:jc w:val="center"/>
              <w:rPr>
                <w:rFonts w:hint="default" w:ascii="宋体" w:hAnsi="宋体" w:eastAsia="宋体" w:cs="宋体"/>
                <w:b w:val="0"/>
                <w:bCs w:val="0"/>
                <w:kern w:val="0"/>
                <w:lang w:val="en-US" w:eastAsia="zh-CN"/>
              </w:rPr>
            </w:pPr>
            <w:r>
              <w:rPr>
                <w:rFonts w:hint="eastAsia" w:ascii="宋体" w:hAnsi="宋体" w:eastAsia="宋体" w:cs="宋体"/>
                <w:b w:val="0"/>
                <w:bCs w:val="0"/>
                <w:kern w:val="0"/>
                <w:lang w:val="en-US" w:eastAsia="zh-CN"/>
              </w:rPr>
              <w:t>0.877</w:t>
            </w:r>
          </w:p>
        </w:tc>
        <w:tc>
          <w:tcPr>
            <w:tcW w:w="1668" w:type="dxa"/>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Theme="minorEastAsia" w:hAnsiTheme="minorEastAsia" w:eastAsiaTheme="minorEastAsia" w:cstheme="minorEastAsia"/>
                <w:sz w:val="24"/>
                <w:szCs w:val="24"/>
                <w:vertAlign w:val="baseline"/>
                <w:lang w:val="en-US" w:eastAsia="zh-CN"/>
              </w:rPr>
              <w:t>&lt; 20</w:t>
            </w:r>
          </w:p>
        </w:tc>
        <w:tc>
          <w:tcPr>
            <w:tcW w:w="1486" w:type="dxa"/>
            <w:vAlign w:val="center"/>
          </w:tcPr>
          <w:p>
            <w:pPr>
              <w:widowControl/>
              <w:adjustRightInd w:val="0"/>
              <w:snapToGrid w:val="0"/>
              <w:spacing w:line="240" w:lineRule="auto"/>
              <w:ind w:firstLine="0" w:firstLineChars="0"/>
              <w:jc w:val="center"/>
              <w:rPr>
                <w:rFonts w:hint="default" w:ascii="宋体" w:hAnsi="宋体" w:eastAsia="宋体" w:cs="宋体"/>
                <w:b w:val="0"/>
                <w:bCs w:val="0"/>
                <w:kern w:val="0"/>
                <w:lang w:val="en-US" w:eastAsia="zh-CN"/>
              </w:rPr>
            </w:pPr>
            <w:r>
              <w:rPr>
                <w:rFonts w:hint="eastAsia" w:ascii="宋体" w:hAnsi="宋体" w:eastAsia="宋体" w:cs="宋体"/>
                <w:b w:val="0"/>
                <w:bCs w:val="0"/>
                <w:kern w:val="0"/>
                <w:lang w:val="en-US" w:eastAsia="zh-CN"/>
              </w:rPr>
              <w:t>0.093</w:t>
            </w:r>
          </w:p>
        </w:tc>
        <w:tc>
          <w:tcPr>
            <w:tcW w:w="561" w:type="dxa"/>
            <w:vAlign w:val="center"/>
          </w:tcPr>
          <w:p>
            <w:pPr>
              <w:widowControl/>
              <w:adjustRightInd w:val="0"/>
              <w:snapToGrid w:val="0"/>
              <w:spacing w:line="240" w:lineRule="auto"/>
              <w:ind w:firstLine="0" w:firstLineChars="0"/>
              <w:jc w:val="center"/>
              <w:rPr>
                <w:rFonts w:ascii="宋体" w:hAnsi="宋体" w:eastAsia="宋体" w:cs="宋体"/>
                <w:b w:val="0"/>
                <w:bCs w:val="0"/>
                <w:kern w:val="0"/>
              </w:rPr>
            </w:pPr>
            <w:r>
              <w:rPr>
                <w:rFonts w:hint="eastAsia" w:ascii="宋体" w:hAnsi="宋体" w:eastAsia="宋体" w:cs="宋体"/>
                <w:b w:val="0"/>
                <w:bCs w:val="0"/>
                <w:kern w:val="0"/>
              </w:rPr>
              <w:t>合格</w:t>
            </w:r>
          </w:p>
        </w:tc>
      </w:tr>
    </w:tbl>
    <w:p>
      <w:pPr>
        <w:pStyle w:val="5"/>
        <w:spacing w:line="360" w:lineRule="auto"/>
        <w:outlineLvl w:val="9"/>
        <w:rPr>
          <w:rFonts w:hint="eastAsia" w:ascii="宋体" w:hAnsi="宋体" w:eastAsia="宋体" w:cs="宋体"/>
          <w:b w:val="0"/>
          <w:bCs/>
        </w:rPr>
      </w:pPr>
      <w:bookmarkStart w:id="173" w:name="_Toc514765593"/>
      <w:bookmarkStart w:id="174" w:name="_Toc514530227"/>
      <w:bookmarkStart w:id="175" w:name="_Toc59001943"/>
      <w:bookmarkStart w:id="176" w:name="_Toc516654705"/>
      <w:bookmarkStart w:id="177" w:name="_Toc20967"/>
    </w:p>
    <w:p>
      <w:pPr>
        <w:pStyle w:val="5"/>
        <w:spacing w:line="360" w:lineRule="auto"/>
        <w:rPr>
          <w:rFonts w:hint="eastAsia" w:ascii="宋体" w:hAnsi="宋体" w:eastAsia="宋体" w:cs="宋体"/>
          <w:b w:val="0"/>
          <w:bCs/>
          <w:lang w:val="en-US" w:eastAsia="zh-CN"/>
        </w:rPr>
      </w:pPr>
      <w:r>
        <w:rPr>
          <w:rFonts w:hint="eastAsia" w:ascii="宋体" w:hAnsi="宋体" w:eastAsia="宋体" w:cs="宋体"/>
          <w:b w:val="0"/>
          <w:bCs/>
        </w:rPr>
        <w:t>②</w:t>
      </w:r>
      <w:r>
        <w:rPr>
          <w:rFonts w:hint="eastAsia" w:ascii="宋体" w:hAnsi="宋体" w:eastAsia="宋体" w:cs="宋体"/>
          <w:b w:val="0"/>
          <w:bCs/>
          <w:lang w:val="en-US" w:eastAsia="zh-CN"/>
        </w:rPr>
        <w:t xml:space="preserve"> </w:t>
      </w:r>
      <w:r>
        <w:rPr>
          <w:rFonts w:hint="eastAsia" w:ascii="宋体" w:hAnsi="宋体" w:eastAsia="宋体" w:cs="宋体"/>
          <w:b w:val="0"/>
          <w:bCs/>
        </w:rPr>
        <w:t>噪声监测结论</w:t>
      </w:r>
      <w:bookmarkEnd w:id="173"/>
      <w:bookmarkEnd w:id="174"/>
      <w:bookmarkEnd w:id="175"/>
      <w:bookmarkEnd w:id="176"/>
      <w:bookmarkEnd w:id="177"/>
      <w:r>
        <w:rPr>
          <w:rFonts w:hint="eastAsia" w:ascii="宋体" w:hAnsi="宋体" w:eastAsia="宋体" w:cs="宋体"/>
          <w:b w:val="0"/>
          <w:bCs/>
          <w:lang w:val="en-US" w:eastAsia="zh-CN"/>
        </w:rPr>
        <w:t>:</w:t>
      </w:r>
    </w:p>
    <w:p>
      <w:pPr>
        <w:widowControl/>
        <w:spacing w:line="360" w:lineRule="auto"/>
        <w:ind w:firstLine="480"/>
        <w:rPr>
          <w:rFonts w:ascii="宋体" w:hAnsi="宋体" w:eastAsia="宋体" w:cs="宋体"/>
          <w:color w:val="000000"/>
          <w:kern w:val="0"/>
        </w:rPr>
      </w:pPr>
      <w:r>
        <w:rPr>
          <w:rFonts w:hint="eastAsia" w:ascii="宋体" w:hAnsi="宋体" w:eastAsia="宋体" w:cs="宋体"/>
          <w:color w:val="000000"/>
          <w:kern w:val="0"/>
        </w:rPr>
        <w:t>根据监测数据，项目厂界四周昼</w:t>
      </w:r>
      <w:r>
        <w:rPr>
          <w:rFonts w:hint="eastAsia" w:ascii="宋体" w:hAnsi="宋体" w:eastAsia="宋体" w:cs="宋体"/>
          <w:color w:val="000000"/>
          <w:kern w:val="0"/>
          <w:lang w:eastAsia="zh-CN"/>
        </w:rPr>
        <w:t>、</w:t>
      </w:r>
      <w:r>
        <w:rPr>
          <w:rFonts w:hint="eastAsia" w:ascii="宋体" w:hAnsi="宋体" w:eastAsia="宋体" w:cs="宋体"/>
          <w:color w:val="000000"/>
          <w:kern w:val="0"/>
          <w:lang w:val="en-US" w:eastAsia="zh-CN"/>
        </w:rPr>
        <w:t>夜</w:t>
      </w:r>
      <w:r>
        <w:rPr>
          <w:rFonts w:hint="eastAsia" w:ascii="宋体" w:hAnsi="宋体" w:eastAsia="宋体" w:cs="宋体"/>
          <w:color w:val="000000"/>
          <w:kern w:val="0"/>
        </w:rPr>
        <w:t>间噪声均未超过《工业企业厂界环境噪声排放标准》（GB12348-2008）中表1中</w:t>
      </w:r>
      <w:r>
        <w:rPr>
          <w:rFonts w:hint="eastAsia" w:ascii="宋体" w:hAnsi="宋体" w:eastAsia="宋体" w:cs="宋体"/>
          <w:color w:val="000000"/>
          <w:kern w:val="0"/>
          <w:lang w:val="en-US" w:eastAsia="zh-CN"/>
        </w:rPr>
        <w:t>1</w:t>
      </w:r>
      <w:r>
        <w:rPr>
          <w:rFonts w:hint="eastAsia" w:ascii="宋体" w:hAnsi="宋体" w:eastAsia="宋体" w:cs="宋体"/>
          <w:color w:val="000000"/>
          <w:kern w:val="0"/>
        </w:rPr>
        <w:t>类标准限值要求。</w:t>
      </w:r>
      <w:bookmarkStart w:id="178" w:name="_Toc514530228"/>
      <w:bookmarkStart w:id="179" w:name="_Toc516654706"/>
      <w:bookmarkStart w:id="180" w:name="_Toc514765594"/>
    </w:p>
    <w:p>
      <w:pPr>
        <w:pStyle w:val="5"/>
        <w:spacing w:line="360" w:lineRule="auto"/>
        <w:rPr>
          <w:rFonts w:hint="eastAsia" w:ascii="宋体" w:hAnsi="宋体" w:eastAsia="宋体" w:cs="宋体"/>
          <w:b w:val="0"/>
          <w:bCs/>
          <w:lang w:val="en-US" w:eastAsia="zh-CN"/>
        </w:rPr>
      </w:pPr>
      <w:bookmarkStart w:id="181" w:name="_Toc59001944"/>
      <w:bookmarkStart w:id="182" w:name="_Toc18595"/>
      <w:r>
        <w:rPr>
          <w:rFonts w:hint="eastAsia" w:ascii="宋体" w:hAnsi="宋体" w:eastAsia="宋体" w:cs="宋体"/>
          <w:b w:val="0"/>
          <w:bCs/>
        </w:rPr>
        <w:t>③</w:t>
      </w:r>
      <w:r>
        <w:rPr>
          <w:rFonts w:hint="eastAsia" w:ascii="宋体" w:hAnsi="宋体" w:eastAsia="宋体" w:cs="宋体"/>
          <w:b w:val="0"/>
          <w:bCs/>
          <w:lang w:val="en-US" w:eastAsia="zh-CN"/>
        </w:rPr>
        <w:t xml:space="preserve"> </w:t>
      </w:r>
      <w:r>
        <w:rPr>
          <w:rFonts w:hint="eastAsia" w:ascii="宋体" w:hAnsi="宋体" w:eastAsia="宋体" w:cs="宋体"/>
          <w:b w:val="0"/>
          <w:bCs/>
        </w:rPr>
        <w:t>固废核查结论</w:t>
      </w:r>
      <w:bookmarkEnd w:id="178"/>
      <w:bookmarkEnd w:id="179"/>
      <w:bookmarkEnd w:id="180"/>
      <w:bookmarkEnd w:id="181"/>
      <w:bookmarkEnd w:id="182"/>
      <w:r>
        <w:rPr>
          <w:rFonts w:hint="eastAsia" w:ascii="宋体" w:hAnsi="宋体" w:eastAsia="宋体" w:cs="宋体"/>
          <w:b w:val="0"/>
          <w:bCs/>
          <w:lang w:val="en-US" w:eastAsia="zh-CN"/>
        </w:rPr>
        <w:t>:</w:t>
      </w:r>
    </w:p>
    <w:p>
      <w:pPr>
        <w:keepNext w:val="0"/>
        <w:keepLines w:val="0"/>
        <w:widowControl/>
        <w:suppressLineNumbers w:val="0"/>
        <w:jc w:val="left"/>
        <w:rPr>
          <w:rFonts w:hint="eastAsia" w:ascii="宋体" w:hAnsi="宋体" w:eastAsia="宋体" w:cs="宋体"/>
          <w:b/>
          <w:bCs/>
        </w:rPr>
      </w:pPr>
      <w:r>
        <w:rPr>
          <w:rFonts w:hint="eastAsia" w:ascii="宋体" w:hAnsi="宋体" w:eastAsia="宋体" w:cs="宋体"/>
        </w:rPr>
        <w:t>项目</w:t>
      </w:r>
      <w:r>
        <w:rPr>
          <w:rFonts w:hint="eastAsia" w:ascii="宋体" w:hAnsi="宋体" w:eastAsia="宋体" w:cs="宋体"/>
          <w:lang w:val="en-US" w:eastAsia="zh-CN"/>
        </w:rPr>
        <w:t>一期</w:t>
      </w:r>
      <w:r>
        <w:rPr>
          <w:rFonts w:hint="eastAsia" w:ascii="宋体" w:hAnsi="宋体" w:eastAsia="宋体" w:cs="宋体"/>
        </w:rPr>
        <w:t>产生的固废主要为</w:t>
      </w:r>
      <w:r>
        <w:rPr>
          <w:rFonts w:hint="eastAsia" w:ascii="宋体" w:hAnsi="宋体" w:eastAsia="宋体" w:cs="宋体"/>
          <w:lang w:eastAsia="zh-CN"/>
        </w:rPr>
        <w:t>：</w:t>
      </w:r>
      <w:r>
        <w:rPr>
          <w:rFonts w:hint="eastAsia" w:ascii="宋体" w:hAnsi="宋体" w:eastAsia="宋体" w:cs="宋体"/>
          <w:lang w:val="en-US" w:eastAsia="zh-CN"/>
        </w:rPr>
        <w:t xml:space="preserve"> 一般固废和危险固废及生活垃圾；一般固废有 </w:t>
      </w:r>
      <w:r>
        <w:rPr>
          <w:rFonts w:hint="eastAsia" w:asciiTheme="minorEastAsia" w:hAnsiTheme="minorEastAsia" w:eastAsiaTheme="minorEastAsia" w:cstheme="minorEastAsia"/>
          <w:b w:val="0"/>
          <w:bCs/>
          <w:sz w:val="24"/>
          <w:szCs w:val="24"/>
          <w:vertAlign w:val="baseline"/>
          <w:lang w:val="en-US" w:eastAsia="zh-CN"/>
        </w:rPr>
        <w:t>一般包装材料、废塑料膜、废脱硫剂、牛粪、饲料残渣及杂质等</w:t>
      </w:r>
      <w:r>
        <w:rPr>
          <w:rFonts w:hint="eastAsia" w:ascii="宋体" w:hAnsi="宋体" w:eastAsia="宋体" w:cs="宋体"/>
          <w:lang w:val="en-US" w:eastAsia="zh-CN"/>
        </w:rPr>
        <w:t xml:space="preserve"> ；一般固废的 </w:t>
      </w:r>
      <w:r>
        <w:rPr>
          <w:rFonts w:hint="eastAsia" w:asciiTheme="minorEastAsia" w:hAnsiTheme="minorEastAsia" w:eastAsiaTheme="minorEastAsia" w:cstheme="minorEastAsia"/>
          <w:b w:val="0"/>
          <w:bCs/>
          <w:sz w:val="24"/>
          <w:szCs w:val="24"/>
          <w:vertAlign w:val="baseline"/>
          <w:lang w:val="en-US" w:eastAsia="zh-CN"/>
        </w:rPr>
        <w:t>牛粪、饲料残渣及杂质等（每天产生量约15吨）</w:t>
      </w:r>
      <w:r>
        <w:rPr>
          <w:rFonts w:hint="eastAsia" w:asciiTheme="minorEastAsia" w:hAnsiTheme="minorEastAsia" w:eastAsiaTheme="minorEastAsia" w:cstheme="minorEastAsia"/>
          <w:b w:val="0"/>
          <w:bCs w:val="0"/>
          <w:color w:val="000000"/>
          <w:kern w:val="0"/>
          <w:sz w:val="24"/>
          <w:szCs w:val="24"/>
          <w:lang w:val="en-US" w:eastAsia="zh-CN" w:bidi="ar"/>
        </w:rPr>
        <w:t>委托浙江一海新能源有限公司进行无害化处理。</w:t>
      </w:r>
      <w:r>
        <w:rPr>
          <w:rFonts w:hint="eastAsia" w:ascii="宋体" w:hAnsi="宋体" w:eastAsia="宋体" w:cs="宋体"/>
          <w:lang w:val="en-US" w:eastAsia="zh-CN"/>
        </w:rPr>
        <w:t>危险固废有少量医疗废物、废机油、和含油抹布等目前产生量较少，故暂存在企业设置的危废暂存间，待暂存到一定数量后委托有资质的处置单位进行处置；企业运行过程中的病死牛尸体由</w:t>
      </w:r>
      <w:r>
        <w:rPr>
          <w:rFonts w:hint="eastAsia" w:ascii="宋体" w:hAnsi="宋体" w:eastAsia="宋体" w:cs="宋体"/>
          <w:color w:val="000000"/>
          <w:kern w:val="0"/>
          <w:sz w:val="24"/>
          <w:szCs w:val="24"/>
          <w:lang w:val="en-US" w:eastAsia="zh-CN" w:bidi="ar"/>
        </w:rPr>
        <w:t>市衢江区泰华动物无害化处理厂统一处理，</w:t>
      </w:r>
      <w:r>
        <w:rPr>
          <w:rFonts w:hint="eastAsia" w:ascii="宋体" w:hAnsi="宋体" w:eastAsia="宋体" w:cs="宋体"/>
          <w:lang w:val="en-US" w:eastAsia="zh-CN"/>
        </w:rPr>
        <w:t>进行无害化处置；</w:t>
      </w:r>
      <w:r>
        <w:rPr>
          <w:rFonts w:hint="eastAsia" w:ascii="宋体" w:hAnsi="宋体" w:eastAsia="宋体" w:cs="宋体"/>
          <w:color w:val="000000" w:themeColor="text1"/>
          <w14:textFill>
            <w14:solidFill>
              <w14:schemeClr w14:val="tx1"/>
            </w14:solidFill>
          </w14:textFill>
        </w:rPr>
        <w:t>生活垃圾收集后委托当地环卫部门集中清运。</w:t>
      </w:r>
    </w:p>
    <w:p>
      <w:pPr>
        <w:spacing w:line="360" w:lineRule="auto"/>
        <w:ind w:firstLine="0" w:firstLineChars="0"/>
        <w:jc w:val="center"/>
        <w:rPr>
          <w:rFonts w:ascii="宋体" w:hAnsi="宋体" w:eastAsia="宋体" w:cs="宋体"/>
          <w:b/>
          <w:bCs/>
        </w:rPr>
      </w:pPr>
      <w:r>
        <w:rPr>
          <w:rFonts w:hint="eastAsia" w:ascii="宋体" w:hAnsi="宋体" w:eastAsia="宋体" w:cs="宋体"/>
          <w:b/>
          <w:bCs/>
        </w:rPr>
        <w:t>表</w:t>
      </w:r>
      <w:r>
        <w:rPr>
          <w:rFonts w:hint="eastAsia" w:ascii="宋体" w:hAnsi="宋体" w:eastAsia="宋体" w:cs="宋体"/>
          <w:b/>
          <w:bCs/>
          <w:lang w:val="en-US" w:eastAsia="zh-CN"/>
        </w:rPr>
        <w:t>7.1</w:t>
      </w:r>
      <w:r>
        <w:rPr>
          <w:rFonts w:hint="eastAsia" w:ascii="宋体" w:hAnsi="宋体" w:eastAsia="宋体" w:cs="宋体"/>
          <w:b/>
          <w:bCs/>
        </w:rPr>
        <w:t>-3  固废处理方式和排放量汇总表</w:t>
      </w:r>
    </w:p>
    <w:tbl>
      <w:tblPr>
        <w:tblStyle w:val="23"/>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9"/>
        <w:gridCol w:w="1380"/>
        <w:gridCol w:w="1410"/>
        <w:gridCol w:w="3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9" w:type="dxa"/>
            <w:vAlign w:val="center"/>
          </w:tcPr>
          <w:p>
            <w:pPr>
              <w:widowControl/>
              <w:adjustRightInd w:val="0"/>
              <w:snapToGrid w:val="0"/>
              <w:spacing w:line="240" w:lineRule="auto"/>
              <w:ind w:firstLine="0" w:firstLineChars="0"/>
              <w:jc w:val="center"/>
              <w:rPr>
                <w:rFonts w:ascii="宋体" w:hAnsi="宋体" w:eastAsia="宋体" w:cs="宋体"/>
                <w:b w:val="0"/>
                <w:bCs/>
                <w:kern w:val="0"/>
                <w:sz w:val="21"/>
                <w:szCs w:val="21"/>
              </w:rPr>
            </w:pPr>
            <w:r>
              <w:rPr>
                <w:rFonts w:hint="eastAsia" w:ascii="宋体" w:hAnsi="宋体" w:eastAsia="宋体" w:cs="宋体"/>
                <w:b w:val="0"/>
                <w:bCs/>
                <w:kern w:val="0"/>
                <w:sz w:val="21"/>
                <w:szCs w:val="21"/>
              </w:rPr>
              <w:t>固废名称</w:t>
            </w:r>
          </w:p>
        </w:tc>
        <w:tc>
          <w:tcPr>
            <w:tcW w:w="1380" w:type="dxa"/>
            <w:vAlign w:val="center"/>
          </w:tcPr>
          <w:p>
            <w:pPr>
              <w:widowControl/>
              <w:adjustRightInd w:val="0"/>
              <w:snapToGrid w:val="0"/>
              <w:spacing w:line="240" w:lineRule="auto"/>
              <w:ind w:firstLine="0" w:firstLineChars="0"/>
              <w:jc w:val="center"/>
              <w:rPr>
                <w:rFonts w:ascii="宋体" w:hAnsi="宋体" w:eastAsia="宋体" w:cs="宋体"/>
                <w:b w:val="0"/>
                <w:bCs/>
                <w:kern w:val="0"/>
                <w:sz w:val="21"/>
                <w:szCs w:val="21"/>
              </w:rPr>
            </w:pPr>
            <w:r>
              <w:rPr>
                <w:rFonts w:hint="eastAsia" w:ascii="宋体" w:hAnsi="宋体" w:eastAsia="宋体" w:cs="宋体"/>
                <w:b w:val="0"/>
                <w:bCs/>
                <w:kern w:val="0"/>
                <w:sz w:val="21"/>
                <w:szCs w:val="21"/>
              </w:rPr>
              <w:t>环评</w:t>
            </w:r>
            <w:r>
              <w:rPr>
                <w:rFonts w:hint="eastAsia" w:ascii="宋体" w:hAnsi="宋体" w:eastAsia="宋体" w:cs="宋体"/>
                <w:b w:val="0"/>
                <w:bCs/>
                <w:kern w:val="0"/>
                <w:sz w:val="21"/>
                <w:szCs w:val="21"/>
                <w:lang w:val="en-US" w:eastAsia="zh-CN"/>
              </w:rPr>
              <w:t>预测</w:t>
            </w:r>
            <w:r>
              <w:rPr>
                <w:rFonts w:hint="eastAsia" w:ascii="宋体" w:hAnsi="宋体" w:eastAsia="宋体" w:cs="宋体"/>
                <w:b w:val="0"/>
                <w:bCs/>
                <w:kern w:val="0"/>
                <w:sz w:val="21"/>
                <w:szCs w:val="21"/>
              </w:rPr>
              <w:t>排放量（t/a）</w:t>
            </w:r>
          </w:p>
        </w:tc>
        <w:tc>
          <w:tcPr>
            <w:tcW w:w="1410" w:type="dxa"/>
            <w:vAlign w:val="center"/>
          </w:tcPr>
          <w:p>
            <w:pPr>
              <w:widowControl/>
              <w:adjustRightInd w:val="0"/>
              <w:snapToGrid w:val="0"/>
              <w:spacing w:line="240" w:lineRule="auto"/>
              <w:ind w:firstLine="0" w:firstLineChars="0"/>
              <w:jc w:val="center"/>
              <w:rPr>
                <w:rFonts w:ascii="宋体" w:hAnsi="宋体" w:eastAsia="宋体" w:cs="宋体"/>
                <w:b w:val="0"/>
                <w:bCs/>
                <w:kern w:val="0"/>
                <w:sz w:val="21"/>
                <w:szCs w:val="21"/>
              </w:rPr>
            </w:pPr>
            <w:r>
              <w:rPr>
                <w:rFonts w:hint="eastAsia" w:ascii="宋体" w:hAnsi="宋体" w:eastAsia="宋体" w:cs="宋体"/>
                <w:b w:val="0"/>
                <w:bCs/>
                <w:kern w:val="0"/>
                <w:sz w:val="21"/>
                <w:szCs w:val="21"/>
              </w:rPr>
              <w:t>实际排放量（t/a）</w:t>
            </w:r>
          </w:p>
        </w:tc>
        <w:tc>
          <w:tcPr>
            <w:tcW w:w="3835" w:type="dxa"/>
            <w:vAlign w:val="center"/>
          </w:tcPr>
          <w:p>
            <w:pPr>
              <w:widowControl/>
              <w:adjustRightInd w:val="0"/>
              <w:snapToGrid w:val="0"/>
              <w:spacing w:line="240" w:lineRule="auto"/>
              <w:ind w:firstLine="0" w:firstLineChars="0"/>
              <w:jc w:val="center"/>
              <w:rPr>
                <w:rFonts w:ascii="宋体" w:hAnsi="宋体" w:eastAsia="宋体" w:cs="宋体"/>
                <w:b w:val="0"/>
                <w:bCs/>
                <w:kern w:val="0"/>
                <w:sz w:val="21"/>
                <w:szCs w:val="21"/>
              </w:rPr>
            </w:pPr>
            <w:r>
              <w:rPr>
                <w:rFonts w:hint="eastAsia" w:ascii="宋体" w:hAnsi="宋体" w:eastAsia="宋体" w:cs="宋体"/>
                <w:b w:val="0"/>
                <w:bCs/>
                <w:kern w:val="0"/>
                <w:sz w:val="21"/>
                <w:szCs w:val="21"/>
              </w:rPr>
              <w:t>处理方式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9" w:type="dxa"/>
            <w:vAlign w:val="center"/>
          </w:tcPr>
          <w:p>
            <w:pPr>
              <w:pStyle w:val="7"/>
              <w:spacing w:line="240" w:lineRule="auto"/>
              <w:ind w:left="0" w:leftChars="0" w:firstLine="0" w:firstLineChars="0"/>
              <w:jc w:val="center"/>
              <w:rPr>
                <w:rFonts w:ascii="宋体" w:hAnsi="宋体" w:eastAsia="宋体" w:cs="宋体"/>
                <w:b w:val="0"/>
                <w:bCs/>
                <w:kern w:val="0"/>
              </w:rPr>
            </w:pPr>
            <w:r>
              <w:rPr>
                <w:rFonts w:hint="eastAsia" w:asciiTheme="minorEastAsia" w:hAnsiTheme="minorEastAsia" w:eastAsiaTheme="minorEastAsia" w:cstheme="minorEastAsia"/>
                <w:b w:val="0"/>
                <w:bCs/>
                <w:sz w:val="21"/>
                <w:szCs w:val="21"/>
                <w:vertAlign w:val="baseline"/>
                <w:lang w:val="en-US" w:eastAsia="zh-CN"/>
              </w:rPr>
              <w:t>一般包装材料</w:t>
            </w:r>
          </w:p>
        </w:tc>
        <w:tc>
          <w:tcPr>
            <w:tcW w:w="138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sz w:val="21"/>
                <w:szCs w:val="21"/>
                <w:lang w:val="en-US" w:eastAsia="zh-CN"/>
              </w:rPr>
            </w:pPr>
            <w:r>
              <w:rPr>
                <w:rFonts w:hint="eastAsia" w:ascii="宋体" w:hAnsi="宋体" w:eastAsia="宋体" w:cs="宋体"/>
                <w:b w:val="0"/>
                <w:bCs/>
                <w:kern w:val="0"/>
                <w:sz w:val="21"/>
                <w:szCs w:val="21"/>
                <w:lang w:val="en-US" w:eastAsia="zh-CN"/>
              </w:rPr>
              <w:t>0.5</w:t>
            </w:r>
          </w:p>
        </w:tc>
        <w:tc>
          <w:tcPr>
            <w:tcW w:w="141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lang w:val="en-US" w:eastAsia="zh-CN"/>
              </w:rPr>
            </w:pPr>
            <w:r>
              <w:rPr>
                <w:rFonts w:hint="eastAsia" w:ascii="宋体" w:hAnsi="宋体" w:eastAsia="宋体" w:cs="宋体"/>
                <w:b w:val="0"/>
                <w:bCs/>
                <w:kern w:val="0"/>
                <w:lang w:val="en-US" w:eastAsia="zh-CN"/>
              </w:rPr>
              <w:t>0.2</w:t>
            </w:r>
          </w:p>
        </w:tc>
        <w:tc>
          <w:tcPr>
            <w:tcW w:w="3835" w:type="dxa"/>
            <w:vMerge w:val="restart"/>
            <w:vAlign w:val="center"/>
          </w:tcPr>
          <w:p>
            <w:pPr>
              <w:widowControl/>
              <w:adjustRightInd w:val="0"/>
              <w:snapToGrid w:val="0"/>
              <w:spacing w:line="240" w:lineRule="auto"/>
              <w:ind w:firstLine="0" w:firstLineChars="0"/>
              <w:jc w:val="center"/>
              <w:rPr>
                <w:rFonts w:hint="default" w:ascii="宋体" w:hAnsi="宋体" w:eastAsia="宋体" w:cs="宋体"/>
                <w:b w:val="0"/>
                <w:bCs/>
                <w:kern w:val="0"/>
                <w:sz w:val="21"/>
                <w:szCs w:val="21"/>
                <w:lang w:val="en-US" w:eastAsia="zh-CN"/>
              </w:rPr>
            </w:pPr>
            <w:r>
              <w:rPr>
                <w:rFonts w:hint="eastAsia" w:ascii="宋体" w:hAnsi="宋体" w:eastAsia="宋体" w:cs="宋体"/>
                <w:b w:val="0"/>
                <w:bCs/>
                <w:kern w:val="0"/>
                <w:sz w:val="21"/>
                <w:szCs w:val="21"/>
                <w:lang w:val="en-US" w:eastAsia="zh-CN"/>
              </w:rPr>
              <w:t>外售、回收综合利用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9" w:type="dxa"/>
            <w:vAlign w:val="center"/>
          </w:tcPr>
          <w:p>
            <w:pPr>
              <w:pStyle w:val="7"/>
              <w:spacing w:line="240" w:lineRule="auto"/>
              <w:ind w:firstLine="420" w:firstLineChars="200"/>
              <w:jc w:val="center"/>
              <w:rPr>
                <w:rFonts w:ascii="宋体" w:hAnsi="宋体" w:eastAsia="宋体" w:cs="宋体"/>
                <w:b w:val="0"/>
                <w:bCs/>
                <w:kern w:val="0"/>
              </w:rPr>
            </w:pPr>
            <w:r>
              <w:rPr>
                <w:rFonts w:hint="eastAsia" w:asciiTheme="minorEastAsia" w:hAnsiTheme="minorEastAsia" w:eastAsiaTheme="minorEastAsia" w:cstheme="minorEastAsia"/>
                <w:b w:val="0"/>
                <w:bCs/>
                <w:sz w:val="21"/>
                <w:szCs w:val="21"/>
                <w:vertAlign w:val="baseline"/>
                <w:lang w:val="en-US" w:eastAsia="zh-CN"/>
              </w:rPr>
              <w:t>废塑料膜</w:t>
            </w:r>
          </w:p>
        </w:tc>
        <w:tc>
          <w:tcPr>
            <w:tcW w:w="138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sz w:val="21"/>
                <w:szCs w:val="21"/>
                <w:lang w:val="en-US" w:eastAsia="zh-CN"/>
              </w:rPr>
            </w:pPr>
            <w:r>
              <w:rPr>
                <w:rFonts w:hint="eastAsia" w:ascii="宋体" w:hAnsi="宋体" w:eastAsia="宋体" w:cs="宋体"/>
                <w:b w:val="0"/>
                <w:bCs/>
                <w:kern w:val="0"/>
                <w:sz w:val="21"/>
                <w:szCs w:val="21"/>
                <w:lang w:val="en-US" w:eastAsia="zh-CN"/>
              </w:rPr>
              <w:t>0.05</w:t>
            </w:r>
          </w:p>
        </w:tc>
        <w:tc>
          <w:tcPr>
            <w:tcW w:w="141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lang w:val="en-US" w:eastAsia="zh-CN"/>
              </w:rPr>
            </w:pPr>
            <w:r>
              <w:rPr>
                <w:rFonts w:hint="eastAsia" w:ascii="宋体" w:hAnsi="宋体" w:eastAsia="宋体" w:cs="宋体"/>
                <w:b w:val="0"/>
                <w:bCs/>
                <w:kern w:val="0"/>
                <w:lang w:val="en-US" w:eastAsia="zh-CN"/>
              </w:rPr>
              <w:t>0.02</w:t>
            </w:r>
          </w:p>
        </w:tc>
        <w:tc>
          <w:tcPr>
            <w:tcW w:w="3835" w:type="dxa"/>
            <w:vMerge w:val="continue"/>
            <w:vAlign w:val="center"/>
          </w:tcPr>
          <w:p>
            <w:pPr>
              <w:widowControl/>
              <w:adjustRightInd w:val="0"/>
              <w:snapToGrid w:val="0"/>
              <w:spacing w:line="240" w:lineRule="auto"/>
              <w:ind w:firstLine="0" w:firstLineChars="0"/>
              <w:jc w:val="center"/>
              <w:rPr>
                <w:rFonts w:ascii="宋体" w:hAnsi="宋体" w:eastAsia="宋体" w:cs="宋体"/>
                <w:b w:val="0"/>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9" w:type="dxa"/>
            <w:vAlign w:val="center"/>
          </w:tcPr>
          <w:p>
            <w:pPr>
              <w:pStyle w:val="7"/>
              <w:spacing w:line="240" w:lineRule="auto"/>
              <w:ind w:firstLine="420" w:firstLineChars="200"/>
              <w:jc w:val="center"/>
              <w:rPr>
                <w:rFonts w:ascii="宋体" w:hAnsi="宋体" w:eastAsia="宋体" w:cs="宋体"/>
                <w:b w:val="0"/>
                <w:bCs/>
                <w:kern w:val="0"/>
              </w:rPr>
            </w:pPr>
            <w:r>
              <w:rPr>
                <w:rFonts w:hint="eastAsia" w:asciiTheme="minorEastAsia" w:hAnsiTheme="minorEastAsia" w:eastAsiaTheme="minorEastAsia" w:cstheme="minorEastAsia"/>
                <w:b w:val="0"/>
                <w:bCs/>
                <w:sz w:val="21"/>
                <w:szCs w:val="21"/>
                <w:vertAlign w:val="baseline"/>
                <w:lang w:val="en-US" w:eastAsia="zh-CN"/>
              </w:rPr>
              <w:t>牛粪</w:t>
            </w:r>
          </w:p>
        </w:tc>
        <w:tc>
          <w:tcPr>
            <w:tcW w:w="138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sz w:val="21"/>
                <w:szCs w:val="21"/>
                <w:lang w:val="en-US" w:eastAsia="zh-CN"/>
              </w:rPr>
            </w:pPr>
            <w:r>
              <w:rPr>
                <w:rFonts w:hint="eastAsia" w:ascii="宋体" w:hAnsi="宋体" w:eastAsia="宋体" w:cs="宋体"/>
                <w:b w:val="0"/>
                <w:bCs/>
                <w:kern w:val="0"/>
                <w:sz w:val="21"/>
                <w:szCs w:val="21"/>
                <w:lang w:val="en-US" w:eastAsia="zh-CN"/>
              </w:rPr>
              <w:t>11680</w:t>
            </w:r>
          </w:p>
        </w:tc>
        <w:tc>
          <w:tcPr>
            <w:tcW w:w="141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lang w:val="en-US" w:eastAsia="zh-CN"/>
              </w:rPr>
            </w:pPr>
            <w:r>
              <w:rPr>
                <w:rFonts w:hint="eastAsia" w:ascii="宋体" w:hAnsi="宋体" w:eastAsia="宋体" w:cs="宋体"/>
                <w:b w:val="0"/>
                <w:bCs/>
                <w:kern w:val="0"/>
                <w:lang w:val="en-US" w:eastAsia="zh-CN"/>
              </w:rPr>
              <w:t>4672</w:t>
            </w:r>
          </w:p>
        </w:tc>
        <w:tc>
          <w:tcPr>
            <w:tcW w:w="3835" w:type="dxa"/>
            <w:vMerge w:val="restart"/>
            <w:vAlign w:val="center"/>
          </w:tcPr>
          <w:p>
            <w:pPr>
              <w:widowControl/>
              <w:adjustRightInd w:val="0"/>
              <w:snapToGrid w:val="0"/>
              <w:spacing w:line="240" w:lineRule="auto"/>
              <w:ind w:firstLine="0" w:firstLineChars="0"/>
              <w:jc w:val="center"/>
              <w:rPr>
                <w:rFonts w:hint="default" w:ascii="宋体" w:hAnsi="宋体" w:eastAsia="宋体" w:cs="宋体"/>
                <w:b w:val="0"/>
                <w:bCs/>
                <w:kern w:val="0"/>
                <w:sz w:val="21"/>
                <w:szCs w:val="21"/>
                <w:lang w:val="en-US" w:eastAsia="zh-CN"/>
              </w:rPr>
            </w:pPr>
            <w:r>
              <w:rPr>
                <w:rFonts w:hint="eastAsia" w:asciiTheme="minorEastAsia" w:hAnsiTheme="minorEastAsia" w:eastAsiaTheme="minorEastAsia" w:cstheme="minorEastAsia"/>
                <w:b w:val="0"/>
                <w:bCs w:val="0"/>
                <w:color w:val="000000"/>
                <w:kern w:val="0"/>
                <w:sz w:val="24"/>
                <w:szCs w:val="24"/>
                <w:lang w:val="en-US" w:eastAsia="zh-CN" w:bidi="ar"/>
              </w:rPr>
              <w:t>委托浙江一海新能源有限公司进行无害化处理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9" w:type="dxa"/>
            <w:vAlign w:val="center"/>
          </w:tcPr>
          <w:p>
            <w:pPr>
              <w:pStyle w:val="7"/>
              <w:spacing w:line="240" w:lineRule="auto"/>
              <w:ind w:firstLine="420" w:firstLineChars="200"/>
              <w:jc w:val="center"/>
              <w:rPr>
                <w:rFonts w:ascii="宋体" w:hAnsi="宋体" w:eastAsia="宋体" w:cs="宋体"/>
                <w:b w:val="0"/>
                <w:bCs/>
                <w:kern w:val="0"/>
              </w:rPr>
            </w:pPr>
            <w:r>
              <w:rPr>
                <w:rFonts w:hint="eastAsia" w:asciiTheme="minorEastAsia" w:hAnsiTheme="minorEastAsia" w:eastAsiaTheme="minorEastAsia" w:cstheme="minorEastAsia"/>
                <w:b w:val="0"/>
                <w:bCs/>
                <w:sz w:val="21"/>
                <w:szCs w:val="21"/>
                <w:vertAlign w:val="baseline"/>
                <w:lang w:val="en-US" w:eastAsia="zh-CN"/>
              </w:rPr>
              <w:t>粪渣</w:t>
            </w:r>
          </w:p>
        </w:tc>
        <w:tc>
          <w:tcPr>
            <w:tcW w:w="138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sz w:val="21"/>
                <w:szCs w:val="21"/>
                <w:lang w:val="en-US" w:eastAsia="zh-CN"/>
              </w:rPr>
            </w:pPr>
            <w:r>
              <w:rPr>
                <w:rFonts w:hint="eastAsia" w:ascii="宋体" w:hAnsi="宋体" w:eastAsia="宋体" w:cs="宋体"/>
                <w:b w:val="0"/>
                <w:bCs/>
                <w:kern w:val="0"/>
                <w:sz w:val="21"/>
                <w:szCs w:val="21"/>
                <w:lang w:val="en-US" w:eastAsia="zh-CN"/>
              </w:rPr>
              <w:t>2920</w:t>
            </w:r>
          </w:p>
        </w:tc>
        <w:tc>
          <w:tcPr>
            <w:tcW w:w="141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lang w:val="en-US" w:eastAsia="zh-CN"/>
              </w:rPr>
            </w:pPr>
            <w:r>
              <w:rPr>
                <w:rFonts w:hint="eastAsia" w:ascii="宋体" w:hAnsi="宋体" w:eastAsia="宋体" w:cs="宋体"/>
                <w:b w:val="0"/>
                <w:bCs/>
                <w:kern w:val="0"/>
                <w:lang w:val="en-US" w:eastAsia="zh-CN"/>
              </w:rPr>
              <w:t>1168</w:t>
            </w:r>
          </w:p>
        </w:tc>
        <w:tc>
          <w:tcPr>
            <w:tcW w:w="3835" w:type="dxa"/>
            <w:vMerge w:val="continue"/>
            <w:vAlign w:val="center"/>
          </w:tcPr>
          <w:p>
            <w:pPr>
              <w:widowControl/>
              <w:adjustRightInd w:val="0"/>
              <w:snapToGrid w:val="0"/>
              <w:spacing w:line="240" w:lineRule="auto"/>
              <w:ind w:firstLine="0" w:firstLineChars="0"/>
              <w:jc w:val="center"/>
              <w:rPr>
                <w:rFonts w:ascii="宋体" w:hAnsi="宋体" w:eastAsia="宋体" w:cs="宋体"/>
                <w:b w:val="0"/>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9" w:type="dxa"/>
            <w:vAlign w:val="center"/>
          </w:tcPr>
          <w:p>
            <w:pPr>
              <w:pStyle w:val="7"/>
              <w:spacing w:line="240" w:lineRule="auto"/>
              <w:ind w:left="0" w:leftChars="0" w:firstLine="0" w:firstLineChars="0"/>
              <w:jc w:val="center"/>
              <w:rPr>
                <w:rFonts w:ascii="宋体" w:hAnsi="宋体" w:eastAsia="宋体" w:cs="宋体"/>
                <w:b w:val="0"/>
                <w:bCs/>
                <w:kern w:val="0"/>
              </w:rPr>
            </w:pPr>
            <w:r>
              <w:rPr>
                <w:rFonts w:hint="eastAsia" w:asciiTheme="minorEastAsia" w:hAnsiTheme="minorEastAsia" w:eastAsiaTheme="minorEastAsia" w:cstheme="minorEastAsia"/>
                <w:b w:val="0"/>
                <w:bCs/>
                <w:sz w:val="21"/>
                <w:szCs w:val="21"/>
                <w:vertAlign w:val="baseline"/>
                <w:lang w:val="en-US" w:eastAsia="zh-CN"/>
              </w:rPr>
              <w:t>饲料残渣及杂质</w:t>
            </w:r>
          </w:p>
        </w:tc>
        <w:tc>
          <w:tcPr>
            <w:tcW w:w="138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sz w:val="21"/>
                <w:szCs w:val="21"/>
                <w:lang w:val="en-US" w:eastAsia="zh-CN"/>
              </w:rPr>
            </w:pPr>
            <w:r>
              <w:rPr>
                <w:rFonts w:hint="eastAsia" w:ascii="宋体" w:hAnsi="宋体" w:eastAsia="宋体" w:cs="宋体"/>
                <w:b w:val="0"/>
                <w:bCs/>
                <w:kern w:val="0"/>
                <w:sz w:val="21"/>
                <w:szCs w:val="21"/>
                <w:lang w:val="en-US" w:eastAsia="zh-CN"/>
              </w:rPr>
              <w:t>115.34</w:t>
            </w:r>
          </w:p>
        </w:tc>
        <w:tc>
          <w:tcPr>
            <w:tcW w:w="141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lang w:val="en-US" w:eastAsia="zh-CN"/>
              </w:rPr>
            </w:pPr>
            <w:r>
              <w:rPr>
                <w:rFonts w:hint="eastAsia" w:ascii="宋体" w:hAnsi="宋体" w:eastAsia="宋体" w:cs="宋体"/>
                <w:b w:val="0"/>
                <w:bCs/>
                <w:kern w:val="0"/>
                <w:lang w:val="en-US" w:eastAsia="zh-CN"/>
              </w:rPr>
              <w:t>46.14</w:t>
            </w:r>
          </w:p>
        </w:tc>
        <w:tc>
          <w:tcPr>
            <w:tcW w:w="3835" w:type="dxa"/>
            <w:vMerge w:val="continue"/>
            <w:vAlign w:val="center"/>
          </w:tcPr>
          <w:p>
            <w:pPr>
              <w:widowControl/>
              <w:adjustRightInd w:val="0"/>
              <w:snapToGrid w:val="0"/>
              <w:spacing w:line="240" w:lineRule="auto"/>
              <w:ind w:firstLine="0" w:firstLineChars="0"/>
              <w:jc w:val="center"/>
              <w:rPr>
                <w:rFonts w:ascii="宋体" w:hAnsi="宋体" w:eastAsia="宋体" w:cs="宋体"/>
                <w:b w:val="0"/>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9" w:type="dxa"/>
            <w:vAlign w:val="center"/>
          </w:tcPr>
          <w:p>
            <w:pPr>
              <w:pStyle w:val="7"/>
              <w:spacing w:line="240" w:lineRule="auto"/>
              <w:ind w:firstLine="420" w:firstLineChars="200"/>
              <w:jc w:val="center"/>
              <w:rPr>
                <w:rFonts w:ascii="宋体" w:hAnsi="宋体" w:eastAsia="宋体" w:cs="宋体"/>
                <w:b w:val="0"/>
                <w:bCs/>
                <w:kern w:val="0"/>
              </w:rPr>
            </w:pPr>
            <w:r>
              <w:rPr>
                <w:rFonts w:hint="eastAsia" w:asciiTheme="minorEastAsia" w:hAnsiTheme="minorEastAsia" w:eastAsiaTheme="minorEastAsia" w:cstheme="minorEastAsia"/>
                <w:b w:val="0"/>
                <w:bCs/>
                <w:sz w:val="21"/>
                <w:szCs w:val="21"/>
                <w:vertAlign w:val="baseline"/>
                <w:lang w:val="en-US" w:eastAsia="zh-CN"/>
              </w:rPr>
              <w:t>病死牛尸体</w:t>
            </w:r>
          </w:p>
        </w:tc>
        <w:tc>
          <w:tcPr>
            <w:tcW w:w="138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sz w:val="21"/>
                <w:szCs w:val="21"/>
                <w:lang w:val="en-US" w:eastAsia="zh-CN"/>
              </w:rPr>
            </w:pPr>
            <w:r>
              <w:rPr>
                <w:rFonts w:hint="eastAsia" w:ascii="宋体" w:hAnsi="宋体" w:eastAsia="宋体" w:cs="宋体"/>
                <w:b w:val="0"/>
                <w:bCs/>
                <w:kern w:val="0"/>
                <w:sz w:val="21"/>
                <w:szCs w:val="21"/>
                <w:lang w:val="en-US" w:eastAsia="zh-CN"/>
              </w:rPr>
              <w:t>0.8</w:t>
            </w:r>
          </w:p>
        </w:tc>
        <w:tc>
          <w:tcPr>
            <w:tcW w:w="1410" w:type="dxa"/>
            <w:vAlign w:val="center"/>
          </w:tcPr>
          <w:p>
            <w:pPr>
              <w:widowControl/>
              <w:adjustRightInd w:val="0"/>
              <w:snapToGrid w:val="0"/>
              <w:spacing w:line="240" w:lineRule="auto"/>
              <w:ind w:firstLine="0" w:firstLineChars="0"/>
              <w:jc w:val="center"/>
              <w:rPr>
                <w:rFonts w:hint="eastAsia" w:ascii="宋体" w:hAnsi="宋体" w:eastAsia="宋体" w:cs="宋体"/>
                <w:b w:val="0"/>
                <w:bCs/>
                <w:kern w:val="0"/>
                <w:lang w:val="en-US" w:eastAsia="zh-CN"/>
              </w:rPr>
            </w:pPr>
            <w:r>
              <w:rPr>
                <w:rFonts w:hint="eastAsia" w:ascii="宋体" w:hAnsi="宋体" w:eastAsia="宋体" w:cs="宋体"/>
                <w:b w:val="0"/>
                <w:bCs/>
                <w:kern w:val="0"/>
                <w:lang w:val="en-US" w:eastAsia="zh-CN"/>
              </w:rPr>
              <w:t>/</w:t>
            </w:r>
          </w:p>
        </w:tc>
        <w:tc>
          <w:tcPr>
            <w:tcW w:w="3835" w:type="dxa"/>
            <w:vAlign w:val="center"/>
          </w:tcPr>
          <w:p>
            <w:pPr>
              <w:adjustRightInd w:val="0"/>
              <w:snapToGrid w:val="0"/>
              <w:spacing w:line="240" w:lineRule="auto"/>
              <w:ind w:firstLine="0" w:firstLineChars="0"/>
              <w:jc w:val="center"/>
              <w:rPr>
                <w:rFonts w:ascii="宋体" w:hAnsi="宋体" w:eastAsia="宋体" w:cs="宋体"/>
                <w:b w:val="0"/>
                <w:bCs/>
                <w:kern w:val="0"/>
                <w:sz w:val="21"/>
                <w:szCs w:val="21"/>
              </w:rPr>
            </w:pPr>
            <w:r>
              <w:rPr>
                <w:rFonts w:hint="eastAsia" w:ascii="宋体" w:hAnsi="宋体" w:eastAsia="宋体" w:cs="宋体"/>
                <w:color w:val="000000"/>
                <w:kern w:val="0"/>
                <w:sz w:val="21"/>
                <w:szCs w:val="21"/>
                <w:lang w:val="en-US" w:eastAsia="zh-CN" w:bidi="ar"/>
              </w:rPr>
              <w:t>衢江区泰华动物无害化处理厂统一处理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9" w:type="dxa"/>
            <w:vAlign w:val="center"/>
          </w:tcPr>
          <w:p>
            <w:pPr>
              <w:pStyle w:val="7"/>
              <w:spacing w:line="240" w:lineRule="auto"/>
              <w:ind w:left="0" w:leftChars="0" w:firstLine="0" w:firstLineChars="0"/>
              <w:jc w:val="center"/>
              <w:rPr>
                <w:rFonts w:ascii="宋体" w:hAnsi="宋体" w:eastAsia="宋体" w:cs="宋体"/>
                <w:b w:val="0"/>
                <w:bCs/>
                <w:kern w:val="0"/>
              </w:rPr>
            </w:pPr>
            <w:r>
              <w:rPr>
                <w:rFonts w:hint="eastAsia" w:asciiTheme="minorEastAsia" w:hAnsiTheme="minorEastAsia" w:eastAsiaTheme="minorEastAsia" w:cstheme="minorEastAsia"/>
                <w:b w:val="0"/>
                <w:bCs/>
                <w:sz w:val="21"/>
                <w:szCs w:val="21"/>
                <w:vertAlign w:val="baseline"/>
                <w:lang w:val="en-US" w:eastAsia="zh-CN"/>
              </w:rPr>
              <w:t>医疗废物（HW01 841-005-01）</w:t>
            </w:r>
          </w:p>
        </w:tc>
        <w:tc>
          <w:tcPr>
            <w:tcW w:w="138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sz w:val="21"/>
                <w:szCs w:val="21"/>
                <w:lang w:val="en-US" w:eastAsia="zh-CN"/>
              </w:rPr>
            </w:pPr>
            <w:r>
              <w:rPr>
                <w:rFonts w:hint="eastAsia" w:ascii="宋体" w:hAnsi="宋体" w:eastAsia="宋体" w:cs="宋体"/>
                <w:b w:val="0"/>
                <w:bCs/>
                <w:kern w:val="0"/>
                <w:sz w:val="21"/>
                <w:szCs w:val="21"/>
                <w:lang w:val="en-US" w:eastAsia="zh-CN"/>
              </w:rPr>
              <w:t>0.5</w:t>
            </w:r>
          </w:p>
        </w:tc>
        <w:tc>
          <w:tcPr>
            <w:tcW w:w="141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lang w:val="en-US" w:eastAsia="zh-CN"/>
              </w:rPr>
            </w:pPr>
            <w:r>
              <w:rPr>
                <w:rFonts w:hint="eastAsia" w:ascii="宋体" w:hAnsi="宋体" w:eastAsia="宋体" w:cs="宋体"/>
                <w:b w:val="0"/>
                <w:bCs/>
                <w:kern w:val="0"/>
                <w:lang w:val="en-US" w:eastAsia="zh-CN"/>
              </w:rPr>
              <w:t>0.2</w:t>
            </w:r>
          </w:p>
        </w:tc>
        <w:tc>
          <w:tcPr>
            <w:tcW w:w="3835" w:type="dxa"/>
            <w:vMerge w:val="restart"/>
            <w:vAlign w:val="center"/>
          </w:tcPr>
          <w:p>
            <w:pPr>
              <w:widowControl/>
              <w:adjustRightInd w:val="0"/>
              <w:snapToGrid w:val="0"/>
              <w:spacing w:line="240" w:lineRule="auto"/>
              <w:ind w:firstLine="0" w:firstLineChars="0"/>
              <w:jc w:val="center"/>
              <w:rPr>
                <w:rFonts w:hint="eastAsia" w:ascii="宋体" w:hAnsi="宋体" w:eastAsia="宋体" w:cs="宋体"/>
                <w:b w:val="0"/>
                <w:bCs/>
                <w:kern w:val="0"/>
                <w:sz w:val="21"/>
                <w:szCs w:val="21"/>
              </w:rPr>
            </w:pPr>
          </w:p>
          <w:p>
            <w:pPr>
              <w:adjustRightInd w:val="0"/>
              <w:snapToGrid w:val="0"/>
              <w:spacing w:line="240" w:lineRule="auto"/>
              <w:ind w:firstLine="0" w:firstLineChars="0"/>
              <w:jc w:val="center"/>
              <w:rPr>
                <w:rFonts w:ascii="宋体" w:hAnsi="宋体" w:eastAsia="宋体" w:cs="宋体"/>
                <w:b w:val="0"/>
                <w:bCs/>
                <w:kern w:val="0"/>
                <w:sz w:val="21"/>
                <w:szCs w:val="21"/>
              </w:rPr>
            </w:pPr>
            <w:r>
              <w:rPr>
                <w:rFonts w:hint="eastAsia" w:asciiTheme="minorEastAsia" w:hAnsiTheme="minorEastAsia" w:eastAsiaTheme="minorEastAsia" w:cstheme="minorEastAsia"/>
                <w:b w:val="0"/>
                <w:bCs/>
                <w:sz w:val="21"/>
                <w:szCs w:val="21"/>
                <w:vertAlign w:val="baseline"/>
                <w:lang w:val="en-US" w:eastAsia="zh-CN"/>
              </w:rPr>
              <w:t>暂存到一定数量后委托有资质处置单位进行处置。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9" w:type="dxa"/>
            <w:vAlign w:val="center"/>
          </w:tcPr>
          <w:p>
            <w:pPr>
              <w:pStyle w:val="7"/>
              <w:spacing w:line="240" w:lineRule="auto"/>
              <w:ind w:left="0" w:leftChars="0" w:firstLine="0" w:firstLineChars="0"/>
              <w:jc w:val="center"/>
              <w:rPr>
                <w:rFonts w:ascii="宋体" w:hAnsi="宋体" w:eastAsia="宋体" w:cs="宋体"/>
                <w:b w:val="0"/>
                <w:bCs/>
                <w:kern w:val="0"/>
              </w:rPr>
            </w:pPr>
            <w:r>
              <w:rPr>
                <w:rFonts w:hint="eastAsia" w:asciiTheme="minorEastAsia" w:hAnsiTheme="minorEastAsia" w:eastAsiaTheme="minorEastAsia" w:cstheme="minorEastAsia"/>
                <w:b w:val="0"/>
                <w:bCs/>
                <w:sz w:val="21"/>
                <w:szCs w:val="21"/>
                <w:vertAlign w:val="baseline"/>
                <w:lang w:val="en-US" w:eastAsia="zh-CN"/>
              </w:rPr>
              <w:t>废机油(HW08 900-249-08)</w:t>
            </w:r>
          </w:p>
        </w:tc>
        <w:tc>
          <w:tcPr>
            <w:tcW w:w="138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sz w:val="21"/>
                <w:szCs w:val="21"/>
                <w:lang w:val="en-US" w:eastAsia="zh-CN"/>
              </w:rPr>
            </w:pPr>
            <w:r>
              <w:rPr>
                <w:rFonts w:hint="eastAsia" w:ascii="宋体" w:hAnsi="宋体" w:eastAsia="宋体" w:cs="宋体"/>
                <w:b w:val="0"/>
                <w:bCs/>
                <w:kern w:val="0"/>
                <w:sz w:val="21"/>
                <w:szCs w:val="21"/>
                <w:lang w:val="en-US" w:eastAsia="zh-CN"/>
              </w:rPr>
              <w:t>0.45</w:t>
            </w:r>
          </w:p>
        </w:tc>
        <w:tc>
          <w:tcPr>
            <w:tcW w:w="141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lang w:val="en-US" w:eastAsia="zh-CN"/>
              </w:rPr>
            </w:pPr>
            <w:r>
              <w:rPr>
                <w:rFonts w:hint="eastAsia" w:ascii="宋体" w:hAnsi="宋体" w:eastAsia="宋体" w:cs="宋体"/>
                <w:b w:val="0"/>
                <w:bCs/>
                <w:kern w:val="0"/>
                <w:lang w:val="en-US" w:eastAsia="zh-CN"/>
              </w:rPr>
              <w:t>0.18</w:t>
            </w:r>
          </w:p>
        </w:tc>
        <w:tc>
          <w:tcPr>
            <w:tcW w:w="3835" w:type="dxa"/>
            <w:vMerge w:val="continue"/>
            <w:vAlign w:val="center"/>
          </w:tcPr>
          <w:p>
            <w:pPr>
              <w:adjustRightInd w:val="0"/>
              <w:snapToGrid w:val="0"/>
              <w:spacing w:line="240" w:lineRule="auto"/>
              <w:ind w:firstLine="0" w:firstLineChars="0"/>
              <w:jc w:val="center"/>
              <w:rPr>
                <w:rFonts w:ascii="宋体" w:hAnsi="宋体" w:eastAsia="宋体" w:cs="宋体"/>
                <w:b w:val="0"/>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9" w:type="dxa"/>
            <w:vAlign w:val="center"/>
          </w:tcPr>
          <w:p>
            <w:pPr>
              <w:pStyle w:val="7"/>
              <w:spacing w:line="240" w:lineRule="auto"/>
              <w:ind w:left="0" w:leftChars="0" w:firstLine="0" w:firstLineChars="0"/>
              <w:jc w:val="center"/>
              <w:rPr>
                <w:rFonts w:ascii="宋体" w:hAnsi="宋体" w:eastAsia="宋体" w:cs="宋体"/>
                <w:b w:val="0"/>
                <w:bCs/>
                <w:kern w:val="0"/>
              </w:rPr>
            </w:pPr>
            <w:r>
              <w:rPr>
                <w:rFonts w:hint="eastAsia" w:asciiTheme="minorEastAsia" w:hAnsiTheme="minorEastAsia" w:eastAsiaTheme="minorEastAsia" w:cstheme="minorEastAsia"/>
                <w:b w:val="0"/>
                <w:bCs/>
                <w:sz w:val="21"/>
                <w:szCs w:val="21"/>
                <w:vertAlign w:val="baseline"/>
                <w:lang w:val="en-US" w:eastAsia="zh-CN"/>
              </w:rPr>
              <w:t>含油抹布(HW49 900-041-49)</w:t>
            </w:r>
          </w:p>
        </w:tc>
        <w:tc>
          <w:tcPr>
            <w:tcW w:w="138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lang w:val="en-US" w:eastAsia="zh-CN"/>
              </w:rPr>
            </w:pPr>
            <w:r>
              <w:rPr>
                <w:rFonts w:hint="eastAsia" w:ascii="宋体" w:hAnsi="宋体" w:eastAsia="宋体" w:cs="宋体"/>
                <w:b w:val="0"/>
                <w:bCs/>
                <w:kern w:val="0"/>
                <w:lang w:val="en-US" w:eastAsia="zh-CN"/>
              </w:rPr>
              <w:t>0.01</w:t>
            </w:r>
          </w:p>
        </w:tc>
        <w:tc>
          <w:tcPr>
            <w:tcW w:w="141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lang w:val="en-US" w:eastAsia="zh-CN"/>
              </w:rPr>
            </w:pPr>
            <w:r>
              <w:rPr>
                <w:rFonts w:hint="eastAsia" w:ascii="宋体" w:hAnsi="宋体" w:eastAsia="宋体" w:cs="宋体"/>
                <w:b w:val="0"/>
                <w:bCs/>
                <w:kern w:val="0"/>
                <w:lang w:val="en-US" w:eastAsia="zh-CN"/>
              </w:rPr>
              <w:t>0.004</w:t>
            </w:r>
          </w:p>
        </w:tc>
        <w:tc>
          <w:tcPr>
            <w:tcW w:w="3835" w:type="dxa"/>
            <w:vMerge w:val="continue"/>
            <w:vAlign w:val="center"/>
          </w:tcPr>
          <w:p>
            <w:pPr>
              <w:adjustRightInd w:val="0"/>
              <w:snapToGrid w:val="0"/>
              <w:spacing w:line="240" w:lineRule="auto"/>
              <w:ind w:firstLine="480"/>
              <w:jc w:val="center"/>
              <w:rPr>
                <w:rFonts w:ascii="宋体" w:hAnsi="宋体" w:eastAsia="宋体" w:cs="宋体"/>
                <w:b w:val="0"/>
                <w:bCs/>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9" w:type="dxa"/>
            <w:vAlign w:val="center"/>
          </w:tcPr>
          <w:p>
            <w:pPr>
              <w:pStyle w:val="7"/>
              <w:spacing w:line="240" w:lineRule="auto"/>
              <w:ind w:firstLine="420" w:firstLineChars="200"/>
              <w:jc w:val="center"/>
              <w:rPr>
                <w:rFonts w:ascii="宋体" w:hAnsi="宋体" w:eastAsia="宋体" w:cs="宋体"/>
                <w:b w:val="0"/>
                <w:bCs/>
                <w:kern w:val="0"/>
              </w:rPr>
            </w:pPr>
            <w:r>
              <w:rPr>
                <w:rFonts w:hint="eastAsia" w:asciiTheme="minorEastAsia" w:hAnsiTheme="minorEastAsia" w:eastAsiaTheme="minorEastAsia" w:cstheme="minorEastAsia"/>
                <w:b w:val="0"/>
                <w:bCs/>
                <w:sz w:val="21"/>
                <w:szCs w:val="21"/>
                <w:vertAlign w:val="baseline"/>
                <w:lang w:val="en-US" w:eastAsia="zh-CN"/>
              </w:rPr>
              <w:t>生活垃圾</w:t>
            </w:r>
          </w:p>
        </w:tc>
        <w:tc>
          <w:tcPr>
            <w:tcW w:w="138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lang w:val="en-US" w:eastAsia="zh-CN"/>
              </w:rPr>
            </w:pPr>
            <w:r>
              <w:rPr>
                <w:rFonts w:hint="eastAsia" w:ascii="宋体" w:hAnsi="宋体" w:eastAsia="宋体" w:cs="宋体"/>
                <w:b w:val="0"/>
                <w:bCs/>
                <w:kern w:val="0"/>
                <w:lang w:val="en-US" w:eastAsia="zh-CN"/>
              </w:rPr>
              <w:t>9.1</w:t>
            </w:r>
          </w:p>
        </w:tc>
        <w:tc>
          <w:tcPr>
            <w:tcW w:w="1410"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lang w:val="en-US" w:eastAsia="zh-CN"/>
              </w:rPr>
            </w:pPr>
            <w:r>
              <w:rPr>
                <w:rFonts w:hint="eastAsia" w:ascii="宋体" w:hAnsi="宋体" w:eastAsia="宋体" w:cs="宋体"/>
                <w:b w:val="0"/>
                <w:bCs/>
                <w:kern w:val="0"/>
                <w:lang w:val="en-US" w:eastAsia="zh-CN"/>
              </w:rPr>
              <w:t>3.6</w:t>
            </w:r>
          </w:p>
        </w:tc>
        <w:tc>
          <w:tcPr>
            <w:tcW w:w="3835" w:type="dxa"/>
            <w:vAlign w:val="center"/>
          </w:tcPr>
          <w:p>
            <w:pPr>
              <w:widowControl/>
              <w:adjustRightInd w:val="0"/>
              <w:snapToGrid w:val="0"/>
              <w:spacing w:line="240" w:lineRule="auto"/>
              <w:ind w:firstLine="0" w:firstLineChars="0"/>
              <w:jc w:val="center"/>
              <w:rPr>
                <w:rFonts w:hint="default" w:ascii="宋体" w:hAnsi="宋体" w:eastAsia="宋体" w:cs="宋体"/>
                <w:b w:val="0"/>
                <w:bCs/>
                <w:kern w:val="0"/>
                <w:sz w:val="21"/>
                <w:szCs w:val="21"/>
                <w:lang w:val="en-US" w:eastAsia="zh-CN"/>
              </w:rPr>
            </w:pPr>
            <w:r>
              <w:rPr>
                <w:rFonts w:hint="eastAsia" w:ascii="宋体" w:hAnsi="宋体" w:eastAsia="宋体" w:cs="宋体"/>
                <w:b w:val="0"/>
                <w:bCs/>
                <w:kern w:val="0"/>
                <w:sz w:val="21"/>
                <w:szCs w:val="21"/>
                <w:lang w:val="en-US" w:eastAsia="zh-CN"/>
              </w:rPr>
              <w:t>收集后由环卫部门统一清运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8364" w:type="dxa"/>
            <w:gridSpan w:val="4"/>
            <w:vAlign w:val="center"/>
          </w:tcPr>
          <w:p>
            <w:pPr>
              <w:pStyle w:val="9"/>
              <w:ind w:left="0" w:leftChars="0" w:firstLine="0" w:firstLineChars="0"/>
              <w:rPr>
                <w:rFonts w:hint="eastAsia" w:ascii="宋体" w:hAnsi="宋体" w:eastAsia="宋体" w:cs="宋体"/>
                <w:b w:val="0"/>
                <w:bCs/>
                <w:kern w:val="0"/>
                <w:sz w:val="21"/>
                <w:szCs w:val="21"/>
                <w:lang w:val="en-US" w:eastAsia="zh-CN"/>
              </w:rPr>
            </w:pPr>
            <w:bookmarkStart w:id="183" w:name="_Toc514530229"/>
            <w:bookmarkStart w:id="184" w:name="_Toc514765595"/>
            <w:bookmarkStart w:id="185" w:name="_Toc516654707"/>
            <w:bookmarkStart w:id="186" w:name="_Toc59001945"/>
            <w:r>
              <w:rPr>
                <w:rFonts w:hint="eastAsia" w:asciiTheme="minorEastAsia" w:hAnsiTheme="minorEastAsia" w:eastAsiaTheme="minorEastAsia" w:cstheme="minorEastAsia"/>
                <w:b w:val="0"/>
                <w:bCs w:val="0"/>
                <w:sz w:val="24"/>
                <w:szCs w:val="24"/>
                <w:lang w:val="en-US" w:eastAsia="zh-CN"/>
              </w:rPr>
              <w:t>备注：</w:t>
            </w:r>
            <w:r>
              <w:rPr>
                <w:rFonts w:hint="eastAsia" w:asciiTheme="minorEastAsia" w:hAnsiTheme="minorEastAsia" w:eastAsiaTheme="minorEastAsia" w:cstheme="minorEastAsia"/>
                <w:lang w:val="en-US" w:eastAsia="zh-CN"/>
              </w:rPr>
              <w:t>因是项目一期，未全部建成，养殖规模仅为800头，</w:t>
            </w:r>
            <w:r>
              <w:rPr>
                <w:rFonts w:hint="eastAsia" w:asciiTheme="minorEastAsia" w:hAnsiTheme="minorEastAsia" w:eastAsiaTheme="minorEastAsia" w:cstheme="minorEastAsia"/>
                <w:b w:val="0"/>
                <w:bCs w:val="0"/>
                <w:sz w:val="24"/>
                <w:szCs w:val="24"/>
                <w:lang w:val="en-US" w:eastAsia="zh-CN"/>
              </w:rPr>
              <w:t>故企业生产过程中产生的固废也相应减少。</w:t>
            </w:r>
          </w:p>
        </w:tc>
      </w:tr>
    </w:tbl>
    <w:p>
      <w:pPr>
        <w:pStyle w:val="7"/>
        <w:spacing w:line="360" w:lineRule="auto"/>
        <w:ind w:left="0" w:leftChars="0" w:firstLine="480" w:firstLineChars="200"/>
        <w:rPr>
          <w:rFonts w:hint="eastAsia" w:asciiTheme="minorEastAsia" w:hAnsiTheme="minorEastAsia" w:eastAsiaTheme="minorEastAsia" w:cstheme="minorEastAsia"/>
          <w:b w:val="0"/>
          <w:bCs w:val="0"/>
          <w:sz w:val="24"/>
          <w:szCs w:val="24"/>
          <w:lang w:val="en-US" w:eastAsia="zh-CN"/>
        </w:rPr>
      </w:pPr>
    </w:p>
    <w:p>
      <w:pPr>
        <w:pStyle w:val="7"/>
        <w:spacing w:line="360" w:lineRule="auto"/>
        <w:ind w:left="0" w:leftChars="0" w:firstLine="0" w:firstLineChars="0"/>
        <w:outlineLvl w:val="0"/>
        <w:rPr>
          <w:rFonts w:hint="eastAsia" w:asciiTheme="minorEastAsia" w:hAnsiTheme="minorEastAsia" w:eastAsiaTheme="minorEastAsia" w:cstheme="minorEastAsia"/>
          <w:b/>
          <w:bCs/>
          <w:sz w:val="30"/>
          <w:szCs w:val="30"/>
          <w:lang w:val="en-US" w:eastAsia="zh-CN"/>
        </w:rPr>
      </w:pPr>
      <w:bookmarkStart w:id="187" w:name="_Toc9116"/>
      <w:r>
        <w:rPr>
          <w:rFonts w:hint="eastAsia" w:asciiTheme="minorEastAsia" w:hAnsiTheme="minorEastAsia" w:eastAsiaTheme="minorEastAsia" w:cstheme="minorEastAsia"/>
          <w:b/>
          <w:bCs/>
          <w:sz w:val="30"/>
          <w:szCs w:val="30"/>
          <w:lang w:val="en-US" w:eastAsia="zh-CN"/>
        </w:rPr>
        <w:t>8、环境管理检查</w:t>
      </w:r>
      <w:bookmarkEnd w:id="187"/>
    </w:p>
    <w:p>
      <w:pPr>
        <w:pStyle w:val="7"/>
        <w:spacing w:line="360" w:lineRule="auto"/>
        <w:ind w:left="0" w:leftChars="0" w:firstLine="0" w:firstLineChars="0"/>
        <w:outlineLvl w:val="1"/>
        <w:rPr>
          <w:rFonts w:hint="eastAsia" w:asciiTheme="minorEastAsia" w:hAnsiTheme="minorEastAsia" w:eastAsiaTheme="minorEastAsia" w:cstheme="minorEastAsia"/>
          <w:lang w:val="en-US" w:eastAsia="zh-CN"/>
        </w:rPr>
      </w:pPr>
      <w:bookmarkStart w:id="188" w:name="_Toc8113"/>
      <w:r>
        <w:rPr>
          <w:rFonts w:hint="eastAsia" w:ascii="宋体" w:hAnsi="宋体" w:eastAsia="宋体" w:cs="宋体"/>
          <w:lang w:val="en-US" w:eastAsia="zh-CN"/>
        </w:rPr>
        <w:t xml:space="preserve">① </w:t>
      </w:r>
      <w:r>
        <w:rPr>
          <w:rFonts w:hint="eastAsia" w:asciiTheme="minorEastAsia" w:hAnsiTheme="minorEastAsia" w:eastAsiaTheme="minorEastAsia" w:cstheme="minorEastAsia"/>
          <w:lang w:val="en-US" w:eastAsia="zh-CN"/>
        </w:rPr>
        <w:t>执行国家建设项目环境管理制度情况：</w:t>
      </w:r>
      <w:bookmarkEnd w:id="188"/>
    </w:p>
    <w:p>
      <w:pPr>
        <w:pStyle w:val="7"/>
        <w:spacing w:line="360" w:lineRule="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项目在建设前，已根据《中华人民共和国环境保护法》和原国家环境保护总局《建设项目环境保护管理条例》的要求进行了环境影响评价，履行了环境影响审批手续，有关档案基本齐全；项目施工前进行了初步设计；项目投入运行后项目的有机肥基料生产工艺进行了变更，</w:t>
      </w:r>
      <w:r>
        <w:rPr>
          <w:rFonts w:hint="eastAsia" w:asciiTheme="minorEastAsia" w:hAnsiTheme="minorEastAsia" w:eastAsiaTheme="minorEastAsia" w:cstheme="minorEastAsia"/>
          <w:sz w:val="24"/>
          <w:szCs w:val="24"/>
          <w:lang w:val="en-US" w:eastAsia="zh-CN"/>
        </w:rPr>
        <w:t>按环保管理有关规定要求，履行了项目变更的汇报和协同衢江区生态环境分局进行了现场踏勘，整个项目的环境保护设</w:t>
      </w:r>
      <w:r>
        <w:rPr>
          <w:rFonts w:hint="eastAsia" w:asciiTheme="minorEastAsia" w:hAnsiTheme="minorEastAsia" w:eastAsiaTheme="minorEastAsia" w:cstheme="minorEastAsia"/>
          <w:lang w:val="en-US" w:eastAsia="zh-CN"/>
        </w:rPr>
        <w:t>施在项目投产后基本能有效运行，企业较好地执行了项目“三同时”管理制度。</w:t>
      </w:r>
    </w:p>
    <w:p>
      <w:pPr>
        <w:pStyle w:val="7"/>
        <w:spacing w:line="360" w:lineRule="auto"/>
        <w:ind w:left="0" w:leftChars="0" w:firstLine="0" w:firstLineChars="0"/>
        <w:outlineLvl w:val="1"/>
        <w:rPr>
          <w:rFonts w:hint="eastAsia" w:asciiTheme="minorEastAsia" w:hAnsiTheme="minorEastAsia" w:eastAsiaTheme="minorEastAsia" w:cstheme="minorEastAsia"/>
          <w:lang w:val="en-US" w:eastAsia="zh-CN"/>
        </w:rPr>
      </w:pPr>
      <w:bookmarkStart w:id="189" w:name="_Toc22356"/>
      <w:r>
        <w:rPr>
          <w:rFonts w:hint="eastAsia" w:ascii="宋体" w:hAnsi="宋体" w:eastAsia="宋体" w:cs="宋体"/>
          <w:lang w:val="en-US" w:eastAsia="zh-CN"/>
        </w:rPr>
        <w:t xml:space="preserve">② </w:t>
      </w:r>
      <w:r>
        <w:rPr>
          <w:rFonts w:hint="eastAsia" w:asciiTheme="minorEastAsia" w:hAnsiTheme="minorEastAsia" w:eastAsiaTheme="minorEastAsia" w:cstheme="minorEastAsia"/>
          <w:lang w:val="en-US" w:eastAsia="zh-CN"/>
        </w:rPr>
        <w:t>环保机构设置和环境管理制度建立：</w:t>
      </w:r>
      <w:bookmarkEnd w:id="189"/>
    </w:p>
    <w:p>
      <w:pPr>
        <w:pStyle w:val="7"/>
        <w:spacing w:line="360" w:lineRule="auto"/>
        <w:ind w:left="0" w:leftChars="0" w:firstLine="48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企业制定了《肉牛养殖管理制度》等操作管理办法，各项环保设施按要求</w:t>
      </w:r>
      <w:r>
        <w:rPr>
          <w:rFonts w:hint="eastAsia" w:ascii="宋体" w:hAnsi="宋体" w:eastAsia="宋体" w:cs="宋体"/>
          <w:color w:val="000000"/>
          <w:kern w:val="0"/>
          <w:sz w:val="24"/>
          <w:szCs w:val="24"/>
          <w:lang w:val="en-US" w:eastAsia="zh-CN" w:bidi="ar"/>
        </w:rPr>
        <w:t>规范程序进行操作</w:t>
      </w:r>
      <w:r>
        <w:rPr>
          <w:rFonts w:hint="eastAsia" w:asciiTheme="minorEastAsia" w:hAnsiTheme="minorEastAsia" w:eastAsiaTheme="minorEastAsia" w:cstheme="minorEastAsia"/>
          <w:lang w:val="en-US" w:eastAsia="zh-CN"/>
        </w:rPr>
        <w:t>，企业生产过程中的安全环保管理有专人负责进行定期检查和日常的巡检，确保各环保设施正常运行，企业明确了环境管理目标和各项考核指标，并与经济责任制考核挂钩落实到部门和个人。</w:t>
      </w:r>
    </w:p>
    <w:p>
      <w:pPr>
        <w:pStyle w:val="7"/>
        <w:spacing w:line="360" w:lineRule="auto"/>
        <w:ind w:left="0" w:leftChars="0" w:firstLine="0" w:firstLineChars="0"/>
        <w:outlineLvl w:val="1"/>
        <w:rPr>
          <w:rFonts w:hint="eastAsia" w:asciiTheme="minorEastAsia" w:hAnsiTheme="minorEastAsia" w:eastAsiaTheme="minorEastAsia" w:cstheme="minorEastAsia"/>
          <w:lang w:val="en-US" w:eastAsia="zh-CN"/>
        </w:rPr>
      </w:pPr>
      <w:bookmarkStart w:id="190" w:name="_Toc31543"/>
      <w:r>
        <w:rPr>
          <w:rFonts w:hint="eastAsia" w:ascii="宋体" w:hAnsi="宋体" w:eastAsia="宋体" w:cs="宋体"/>
          <w:lang w:val="en-US" w:eastAsia="zh-CN"/>
        </w:rPr>
        <w:t xml:space="preserve">③ </w:t>
      </w:r>
      <w:r>
        <w:rPr>
          <w:rFonts w:hint="eastAsia" w:asciiTheme="minorEastAsia" w:hAnsiTheme="minorEastAsia" w:eastAsiaTheme="minorEastAsia" w:cstheme="minorEastAsia"/>
          <w:lang w:val="en-US" w:eastAsia="zh-CN"/>
        </w:rPr>
        <w:t>环保设施运行情况：</w:t>
      </w:r>
      <w:bookmarkEnd w:id="190"/>
    </w:p>
    <w:p>
      <w:pPr>
        <w:pStyle w:val="7"/>
        <w:spacing w:line="360" w:lineRule="auto"/>
        <w:ind w:left="0" w:leftChars="0"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由于企业在实际运行过程中的生产工艺及环保设施发生了变更，①</w:t>
      </w:r>
      <w:r>
        <w:rPr>
          <w:rFonts w:hint="eastAsia" w:asciiTheme="minorEastAsia" w:hAnsiTheme="minorEastAsia" w:eastAsiaTheme="minorEastAsia" w:cstheme="minorEastAsia"/>
          <w:sz w:val="24"/>
          <w:szCs w:val="24"/>
          <w:vertAlign w:val="baseline"/>
          <w:lang w:val="en-US" w:eastAsia="zh-CN"/>
        </w:rPr>
        <w:t>有机肥基料的生产工艺变更，不再进行有机肥基料的生产，故无废气排放。②</w:t>
      </w:r>
      <w:r>
        <w:rPr>
          <w:rFonts w:hint="eastAsia" w:asciiTheme="minorEastAsia" w:hAnsiTheme="minorEastAsia" w:eastAsiaTheme="minorEastAsia" w:cstheme="minorEastAsia"/>
          <w:color w:val="000000"/>
          <w:kern w:val="0"/>
          <w:sz w:val="24"/>
          <w:szCs w:val="24"/>
          <w:lang w:val="en-US" w:eastAsia="zh-CN" w:bidi="ar"/>
        </w:rPr>
        <w:t>企业采用干清粪养殖工艺，饲养过程中少量的养殖废水混于牛粪和饲料残渣中</w:t>
      </w:r>
      <w:r>
        <w:rPr>
          <w:rFonts w:hint="eastAsia" w:asciiTheme="minorEastAsia" w:hAnsiTheme="minorEastAsia" w:eastAsiaTheme="minorEastAsia" w:cstheme="minorEastAsia"/>
          <w:b w:val="0"/>
          <w:bCs w:val="0"/>
          <w:color w:val="000000"/>
          <w:kern w:val="0"/>
          <w:sz w:val="24"/>
          <w:szCs w:val="24"/>
          <w:lang w:val="en-US" w:eastAsia="zh-CN" w:bidi="ar"/>
        </w:rPr>
        <w:t>、饲料残渣中一并委托进行了处理，企业因无废水排放，故企业配套的100m3/d污水处理设施目前暂缓建设。</w:t>
      </w:r>
    </w:p>
    <w:p>
      <w:pPr>
        <w:pStyle w:val="7"/>
        <w:spacing w:line="360" w:lineRule="auto"/>
        <w:ind w:left="0" w:leftChars="0" w:firstLine="48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除上述外，企业其余的各项环保措施都能按环评和环评批复的要求认真落实，环保设施与主体工程基本能做到同时设计、同时施工、同时投入运行。本次验收监测期间各环保设施运行正常，监测结果稳定达标。</w:t>
      </w:r>
    </w:p>
    <w:p>
      <w:pPr>
        <w:pStyle w:val="7"/>
        <w:spacing w:line="360" w:lineRule="auto"/>
        <w:ind w:left="0" w:leftChars="0" w:firstLine="0" w:firstLineChars="0"/>
        <w:outlineLvl w:val="1"/>
        <w:rPr>
          <w:rFonts w:hint="eastAsia" w:asciiTheme="minorEastAsia" w:hAnsiTheme="minorEastAsia" w:eastAsiaTheme="minorEastAsia" w:cstheme="minorEastAsia"/>
          <w:lang w:val="en-US" w:eastAsia="zh-CN"/>
        </w:rPr>
      </w:pPr>
      <w:bookmarkStart w:id="191" w:name="_Toc983"/>
      <w:r>
        <w:rPr>
          <w:rFonts w:hint="eastAsia" w:ascii="宋体" w:hAnsi="宋体" w:eastAsia="宋体" w:cs="宋体"/>
          <w:lang w:val="en-US" w:eastAsia="zh-CN"/>
        </w:rPr>
        <w:t xml:space="preserve">④ </w:t>
      </w:r>
      <w:r>
        <w:rPr>
          <w:rFonts w:hint="eastAsia" w:asciiTheme="minorEastAsia" w:hAnsiTheme="minorEastAsia" w:eastAsiaTheme="minorEastAsia" w:cstheme="minorEastAsia"/>
          <w:lang w:val="en-US" w:eastAsia="zh-CN"/>
        </w:rPr>
        <w:t>环境保护档案管理情况：</w:t>
      </w:r>
      <w:bookmarkEnd w:id="191"/>
    </w:p>
    <w:p>
      <w:pPr>
        <w:pStyle w:val="7"/>
        <w:spacing w:line="360" w:lineRule="auto"/>
        <w:ind w:left="0" w:leftChars="0" w:firstLine="48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企业指定由专人负责对项目环境保护资料进行登记存档，该项目环境保护审批手续齐全，档案建立完善。</w:t>
      </w:r>
    </w:p>
    <w:p>
      <w:pPr>
        <w:pStyle w:val="7"/>
        <w:spacing w:line="360" w:lineRule="auto"/>
        <w:ind w:left="0" w:leftChars="0" w:firstLine="0" w:firstLineChars="0"/>
        <w:outlineLvl w:val="1"/>
        <w:rPr>
          <w:rFonts w:hint="eastAsia" w:asciiTheme="minorEastAsia" w:hAnsiTheme="minorEastAsia" w:eastAsiaTheme="minorEastAsia" w:cstheme="minorEastAsia"/>
          <w:lang w:val="en-US" w:eastAsia="zh-CN"/>
        </w:rPr>
      </w:pPr>
      <w:bookmarkStart w:id="192" w:name="_Toc20240"/>
      <w:r>
        <w:rPr>
          <w:rFonts w:hint="eastAsia" w:ascii="宋体" w:hAnsi="宋体" w:eastAsia="宋体" w:cs="宋体"/>
          <w:lang w:val="en-US" w:eastAsia="zh-CN"/>
        </w:rPr>
        <w:t xml:space="preserve">⑤ </w:t>
      </w:r>
      <w:r>
        <w:rPr>
          <w:rFonts w:hint="eastAsia" w:asciiTheme="minorEastAsia" w:hAnsiTheme="minorEastAsia" w:eastAsiaTheme="minorEastAsia" w:cstheme="minorEastAsia"/>
          <w:lang w:val="en-US" w:eastAsia="zh-CN"/>
        </w:rPr>
        <w:t>环境风险防范情况</w:t>
      </w:r>
      <w:bookmarkEnd w:id="192"/>
      <w:bookmarkStart w:id="193" w:name="_Toc32420"/>
    </w:p>
    <w:p>
      <w:pPr>
        <w:keepNext w:val="0"/>
        <w:keepLines w:val="0"/>
        <w:widowControl/>
        <w:suppressLineNumbers w:val="0"/>
        <w:spacing w:line="360" w:lineRule="auto"/>
        <w:jc w:val="left"/>
        <w:rPr>
          <w:rFonts w:hint="eastAsia" w:ascii="宋体" w:hAnsi="宋体" w:eastAsia="宋体" w:cs="宋体"/>
          <w:color w:val="000000"/>
          <w:kern w:val="0"/>
          <w:sz w:val="24"/>
          <w:szCs w:val="24"/>
          <w:lang w:val="en-US" w:eastAsia="zh-CN" w:bidi="ar"/>
        </w:rPr>
      </w:pPr>
      <w:r>
        <w:rPr>
          <w:rFonts w:hint="eastAsia" w:asciiTheme="minorEastAsia" w:hAnsiTheme="minorEastAsia" w:eastAsiaTheme="minorEastAsia" w:cstheme="minorEastAsia"/>
          <w:lang w:val="en-US" w:eastAsia="zh-CN"/>
        </w:rPr>
        <w:t>企业领导重视各类事故的预防</w:t>
      </w:r>
      <w:r>
        <w:rPr>
          <w:rFonts w:hint="eastAsia" w:ascii="宋体" w:hAnsi="宋体" w:eastAsia="宋体" w:cs="宋体"/>
          <w:color w:val="000000"/>
          <w:kern w:val="0"/>
          <w:sz w:val="24"/>
          <w:szCs w:val="24"/>
          <w:lang w:val="en-US" w:eastAsia="zh-CN" w:bidi="ar"/>
        </w:rPr>
        <w:t>，并能加强员工的环保知识和风险事故安全教育，提高职工的风险意识，掌握本职工作所需的安全知识和技能，严格遵守安全规章制度和操作规程，了解其作业场所和工作存在的危险有害因素以及企业所采取的防范措施和环境突发事故应急措施，以减少风险发生的概率；</w:t>
      </w:r>
    </w:p>
    <w:p>
      <w:pPr>
        <w:bidi w:val="0"/>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t>(1) 公司针对</w:t>
      </w:r>
      <w:r>
        <w:rPr>
          <w:rFonts w:hint="eastAsia" w:asciiTheme="minorEastAsia" w:hAnsiTheme="minorEastAsia" w:eastAsiaTheme="minorEastAsia" w:cstheme="minorEastAsia"/>
          <w:lang w:val="en-US" w:eastAsia="zh-CN"/>
        </w:rPr>
        <w:t>企业</w:t>
      </w:r>
      <w:r>
        <w:rPr>
          <w:rFonts w:hint="eastAsia" w:asciiTheme="minorEastAsia" w:hAnsiTheme="minorEastAsia" w:eastAsiaTheme="minorEastAsia" w:cstheme="minorEastAsia"/>
        </w:rPr>
        <w:t>内环境风险单元编制了《突发环境事件应急预案》，建立了环境风险防控和应急措施制度，明确了环境风险防控重点岗位的责任机构，全面落实了定期巡检和维护责任制度；</w:t>
      </w:r>
    </w:p>
    <w:p>
      <w:pPr>
        <w:bidi w:val="0"/>
        <w:spacing w:line="360" w:lineRule="auto"/>
        <w:rPr>
          <w:rFonts w:hint="eastAsia" w:asciiTheme="minorEastAsia" w:hAnsiTheme="minorEastAsia" w:eastAsiaTheme="minorEastAsia" w:cstheme="minorEastAsia"/>
        </w:rPr>
      </w:pPr>
      <w:r>
        <w:rPr>
          <w:rFonts w:hint="eastAsia" w:asciiTheme="minorEastAsia" w:hAnsiTheme="minorEastAsia" w:eastAsiaTheme="minorEastAsia" w:cstheme="minorEastAsia"/>
        </w:rPr>
        <w:t>(2) 公司按照环评批复的要求落实各项环境风险防控和应急措施；</w:t>
      </w:r>
    </w:p>
    <w:p>
      <w:pPr>
        <w:bidi w:val="0"/>
        <w:spacing w:line="360" w:lineRule="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rPr>
        <w:t>(3) 定期对职工开展环境风险和环境应急管理宣传和培训，在厂区显著位置标识风险物质危险特性、急救措施等标识牌，每年开展班组安全教育活动，不定期地组织员工进行专题培训。</w:t>
      </w:r>
      <w:bookmarkEnd w:id="183"/>
      <w:bookmarkEnd w:id="184"/>
      <w:bookmarkEnd w:id="185"/>
    </w:p>
    <w:p>
      <w:pPr>
        <w:pStyle w:val="4"/>
        <w:spacing w:line="360" w:lineRule="auto"/>
        <w:outlineLvl w:val="0"/>
        <w:rPr>
          <w:rFonts w:hint="eastAsia" w:ascii="宋体" w:hAnsi="宋体" w:eastAsia="宋体" w:cs="宋体"/>
          <w:b/>
          <w:bCs w:val="0"/>
          <w:sz w:val="30"/>
          <w:szCs w:val="30"/>
          <w:lang w:val="en-US" w:eastAsia="zh-CN"/>
        </w:rPr>
      </w:pPr>
      <w:bookmarkStart w:id="194" w:name="_Toc14411"/>
      <w:r>
        <w:rPr>
          <w:rFonts w:hint="eastAsia" w:ascii="宋体" w:hAnsi="宋体" w:eastAsia="宋体" w:cs="宋体"/>
          <w:b/>
          <w:bCs w:val="0"/>
          <w:sz w:val="30"/>
          <w:szCs w:val="30"/>
          <w:lang w:val="en-US" w:eastAsia="zh-CN"/>
        </w:rPr>
        <w:t>9、</w:t>
      </w:r>
      <w:r>
        <w:rPr>
          <w:rFonts w:hint="eastAsia" w:ascii="宋体" w:hAnsi="宋体" w:eastAsia="宋体" w:cs="宋体"/>
          <w:b/>
          <w:bCs w:val="0"/>
          <w:sz w:val="30"/>
          <w:szCs w:val="30"/>
        </w:rPr>
        <w:t>审批部门审批决定及污染治理措施落实情况</w:t>
      </w:r>
      <w:r>
        <w:rPr>
          <w:rFonts w:hint="eastAsia" w:ascii="宋体" w:hAnsi="宋体" w:eastAsia="宋体" w:cs="宋体"/>
          <w:b/>
          <w:bCs w:val="0"/>
          <w:sz w:val="30"/>
          <w:szCs w:val="30"/>
          <w:lang w:val="en-US" w:eastAsia="zh-CN"/>
        </w:rPr>
        <w:t>检查</w:t>
      </w:r>
      <w:bookmarkEnd w:id="194"/>
    </w:p>
    <w:p>
      <w:pPr>
        <w:numPr>
          <w:ilvl w:val="0"/>
          <w:numId w:val="0"/>
        </w:numPr>
        <w:spacing w:line="360" w:lineRule="auto"/>
        <w:ind w:firstLine="480" w:firstLineChars="200"/>
        <w:rPr>
          <w:rFonts w:ascii="宋体" w:hAnsi="宋体" w:eastAsia="宋体" w:cs="宋体"/>
        </w:rPr>
      </w:pPr>
      <w:r>
        <w:rPr>
          <w:rFonts w:hint="eastAsia" w:asciiTheme="minorEastAsia" w:hAnsiTheme="minorEastAsia" w:eastAsiaTheme="minorEastAsia" w:cstheme="minorEastAsia"/>
          <w:b w:val="0"/>
          <w:bCs w:val="0"/>
          <w:color w:val="000000"/>
          <w:kern w:val="0"/>
          <w:sz w:val="24"/>
          <w:szCs w:val="24"/>
          <w:lang w:val="en-US" w:eastAsia="zh-CN" w:bidi="ar"/>
        </w:rPr>
        <w:t>衢江区生态环境保护分局</w:t>
      </w:r>
      <w:r>
        <w:rPr>
          <w:rFonts w:hint="eastAsia" w:ascii="宋体" w:hAnsi="宋体" w:eastAsia="宋体" w:cs="宋体"/>
        </w:rPr>
        <w:t>文件关于《</w:t>
      </w:r>
      <w:r>
        <w:rPr>
          <w:rFonts w:hint="eastAsia" w:asciiTheme="minorEastAsia" w:hAnsiTheme="minorEastAsia" w:eastAsiaTheme="minorEastAsia" w:cstheme="minorEastAsia"/>
          <w:sz w:val="24"/>
          <w:szCs w:val="24"/>
          <w:lang w:eastAsia="zh-CN"/>
        </w:rPr>
        <w:t>浙江铭泽</w:t>
      </w:r>
      <w:r>
        <w:rPr>
          <w:rFonts w:hint="eastAsia" w:asciiTheme="minorEastAsia" w:hAnsiTheme="minorEastAsia" w:eastAsiaTheme="minorEastAsia" w:cstheme="minorEastAsia"/>
          <w:sz w:val="24"/>
          <w:szCs w:val="24"/>
          <w:lang w:val="en-US" w:eastAsia="zh-CN"/>
        </w:rPr>
        <w:t>农牧发展</w:t>
      </w:r>
      <w:r>
        <w:rPr>
          <w:rFonts w:hint="eastAsia" w:asciiTheme="minorEastAsia" w:hAnsiTheme="minorEastAsia" w:eastAsiaTheme="minorEastAsia" w:cstheme="minorEastAsia"/>
          <w:sz w:val="24"/>
          <w:szCs w:val="24"/>
          <w:lang w:eastAsia="zh-CN"/>
        </w:rPr>
        <w:t>有限公司衢江区铭泽公司肉牛养殖项目</w:t>
      </w:r>
      <w:r>
        <w:rPr>
          <w:rFonts w:hint="eastAsia" w:asciiTheme="minorEastAsia" w:hAnsiTheme="minorEastAsia" w:eastAsiaTheme="minorEastAsia" w:cstheme="minorEastAsia"/>
          <w:sz w:val="24"/>
          <w:szCs w:val="24"/>
          <w:lang w:val="en-US" w:eastAsia="zh-CN"/>
        </w:rPr>
        <w:t>环境影响报告书</w:t>
      </w:r>
      <w:r>
        <w:rPr>
          <w:rFonts w:hint="eastAsia" w:ascii="宋体" w:hAnsi="宋体" w:eastAsia="宋体" w:cs="宋体"/>
        </w:rPr>
        <w:t>》的审查意见（</w:t>
      </w:r>
      <w:r>
        <w:rPr>
          <w:rFonts w:hint="eastAsia" w:asciiTheme="minorEastAsia" w:hAnsiTheme="minorEastAsia" w:eastAsiaTheme="minorEastAsia" w:cstheme="minorEastAsia"/>
          <w:b w:val="0"/>
          <w:bCs w:val="0"/>
          <w:color w:val="000000"/>
          <w:kern w:val="0"/>
          <w:sz w:val="24"/>
          <w:szCs w:val="24"/>
          <w:lang w:val="en-US" w:eastAsia="zh-CN" w:bidi="ar"/>
        </w:rPr>
        <w:t>衢江环建[2021]35号</w:t>
      </w:r>
      <w:r>
        <w:rPr>
          <w:rFonts w:hint="eastAsia" w:ascii="宋体" w:hAnsi="宋体" w:eastAsia="宋体" w:cs="宋体"/>
        </w:rPr>
        <w:t>）的要求与实际污染物治理情况对照见表</w:t>
      </w:r>
      <w:r>
        <w:rPr>
          <w:rFonts w:hint="eastAsia" w:ascii="宋体" w:hAnsi="宋体" w:eastAsia="宋体" w:cs="宋体"/>
          <w:lang w:val="en-US" w:eastAsia="zh-CN"/>
        </w:rPr>
        <w:t>9-1</w:t>
      </w:r>
      <w:r>
        <w:rPr>
          <w:rFonts w:hint="eastAsia" w:ascii="宋体" w:hAnsi="宋体" w:eastAsia="宋体" w:cs="宋体"/>
        </w:rPr>
        <w:t>。</w:t>
      </w:r>
    </w:p>
    <w:p>
      <w:pPr>
        <w:spacing w:line="360" w:lineRule="auto"/>
        <w:ind w:firstLine="0" w:firstLineChars="0"/>
        <w:jc w:val="center"/>
        <w:rPr>
          <w:rFonts w:ascii="宋体" w:hAnsi="宋体" w:eastAsia="宋体" w:cs="宋体"/>
          <w:b/>
          <w:bCs/>
        </w:rPr>
      </w:pPr>
      <w:r>
        <w:rPr>
          <w:rFonts w:hint="eastAsia" w:ascii="宋体" w:hAnsi="宋体" w:eastAsia="宋体" w:cs="宋体"/>
          <w:b/>
          <w:bCs/>
        </w:rPr>
        <w:t>表</w:t>
      </w:r>
      <w:r>
        <w:rPr>
          <w:rFonts w:hint="eastAsia" w:ascii="宋体" w:hAnsi="宋体" w:eastAsia="宋体" w:cs="宋体"/>
          <w:b/>
          <w:bCs/>
          <w:lang w:val="en-US" w:eastAsia="zh-CN"/>
        </w:rPr>
        <w:t>9</w:t>
      </w:r>
      <w:r>
        <w:rPr>
          <w:rFonts w:hint="eastAsia" w:ascii="宋体" w:hAnsi="宋体" w:eastAsia="宋体" w:cs="宋体"/>
          <w:b/>
          <w:bCs/>
        </w:rPr>
        <w:t>-1 项目环评审批意见污染治理措施落实情况一览表</w:t>
      </w:r>
    </w:p>
    <w:tbl>
      <w:tblPr>
        <w:tblStyle w:val="23"/>
        <w:tblW w:w="8361"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69"/>
        <w:gridCol w:w="3630"/>
        <w:gridCol w:w="2730"/>
        <w:gridCol w:w="1232"/>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69" w:type="dxa"/>
            <w:vAlign w:val="center"/>
          </w:tcPr>
          <w:p>
            <w:pPr>
              <w:ind w:firstLine="0" w:firstLineChars="0"/>
              <w:jc w:val="center"/>
              <w:rPr>
                <w:rFonts w:ascii="宋体" w:hAnsi="宋体" w:eastAsia="宋体" w:cs="宋体"/>
                <w:b/>
                <w:bCs/>
              </w:rPr>
            </w:pPr>
            <w:r>
              <w:rPr>
                <w:rFonts w:hint="eastAsia" w:ascii="宋体" w:hAnsi="宋体" w:eastAsia="宋体" w:cs="宋体"/>
                <w:b/>
                <w:bCs/>
              </w:rPr>
              <w:t>项目</w:t>
            </w:r>
          </w:p>
        </w:tc>
        <w:tc>
          <w:tcPr>
            <w:tcW w:w="3630" w:type="dxa"/>
            <w:vAlign w:val="center"/>
          </w:tcPr>
          <w:p>
            <w:pPr>
              <w:ind w:firstLine="0" w:firstLineChars="0"/>
              <w:jc w:val="center"/>
              <w:rPr>
                <w:rFonts w:ascii="宋体" w:hAnsi="宋体" w:eastAsia="宋体" w:cs="宋体"/>
                <w:b/>
                <w:bCs/>
              </w:rPr>
            </w:pPr>
            <w:r>
              <w:rPr>
                <w:rFonts w:hint="eastAsia" w:ascii="宋体" w:hAnsi="宋体" w:eastAsia="宋体" w:cs="宋体"/>
                <w:b/>
                <w:bCs/>
              </w:rPr>
              <w:t>项目环评审查意见</w:t>
            </w:r>
          </w:p>
          <w:p>
            <w:pPr>
              <w:ind w:firstLine="0" w:firstLineChars="0"/>
              <w:jc w:val="center"/>
              <w:rPr>
                <w:rFonts w:ascii="宋体" w:hAnsi="宋体" w:eastAsia="宋体" w:cs="宋体"/>
                <w:b/>
                <w:bCs/>
              </w:rPr>
            </w:pPr>
            <w:r>
              <w:rPr>
                <w:rFonts w:hint="eastAsia" w:ascii="宋体" w:hAnsi="宋体" w:eastAsia="宋体" w:cs="宋体"/>
              </w:rPr>
              <w:t>（</w:t>
            </w:r>
            <w:r>
              <w:rPr>
                <w:rFonts w:hint="eastAsia" w:asciiTheme="minorEastAsia" w:hAnsiTheme="minorEastAsia" w:eastAsiaTheme="minorEastAsia" w:cstheme="minorEastAsia"/>
                <w:b w:val="0"/>
                <w:bCs w:val="0"/>
                <w:color w:val="000000"/>
                <w:kern w:val="0"/>
                <w:sz w:val="24"/>
                <w:szCs w:val="24"/>
                <w:lang w:val="en-US" w:eastAsia="zh-CN" w:bidi="ar"/>
              </w:rPr>
              <w:t>衢江环建[2021]35号</w:t>
            </w:r>
            <w:r>
              <w:rPr>
                <w:rFonts w:hint="eastAsia" w:ascii="宋体" w:hAnsi="宋体" w:eastAsia="宋体" w:cs="宋体"/>
              </w:rPr>
              <w:t>）</w:t>
            </w:r>
            <w:r>
              <w:rPr>
                <w:rFonts w:hint="eastAsia" w:ascii="宋体" w:hAnsi="宋体" w:eastAsia="宋体" w:cs="宋体"/>
                <w:b/>
                <w:bCs/>
              </w:rPr>
              <w:t>要求</w:t>
            </w:r>
          </w:p>
        </w:tc>
        <w:tc>
          <w:tcPr>
            <w:tcW w:w="2730" w:type="dxa"/>
            <w:vAlign w:val="center"/>
          </w:tcPr>
          <w:p>
            <w:pPr>
              <w:ind w:firstLine="0" w:firstLineChars="0"/>
              <w:jc w:val="center"/>
              <w:rPr>
                <w:rFonts w:ascii="宋体" w:hAnsi="宋体" w:eastAsia="宋体" w:cs="宋体"/>
                <w:b/>
                <w:bCs/>
              </w:rPr>
            </w:pPr>
            <w:r>
              <w:rPr>
                <w:rFonts w:hint="eastAsia" w:ascii="宋体" w:hAnsi="宋体" w:eastAsia="宋体" w:cs="宋体"/>
                <w:b/>
                <w:bCs/>
              </w:rPr>
              <w:t>实际执行情况</w:t>
            </w:r>
          </w:p>
        </w:tc>
        <w:tc>
          <w:tcPr>
            <w:tcW w:w="1232" w:type="dxa"/>
            <w:vAlign w:val="center"/>
          </w:tcPr>
          <w:p>
            <w:pPr>
              <w:ind w:firstLine="0" w:firstLineChars="0"/>
              <w:jc w:val="center"/>
              <w:rPr>
                <w:rFonts w:ascii="宋体" w:hAnsi="宋体" w:eastAsia="宋体" w:cs="宋体"/>
                <w:b/>
                <w:bCs/>
              </w:rPr>
            </w:pPr>
            <w:r>
              <w:rPr>
                <w:rFonts w:hint="eastAsia" w:ascii="宋体" w:hAnsi="宋体" w:eastAsia="宋体" w:cs="宋体"/>
                <w:b/>
                <w:bCs/>
              </w:rPr>
              <w:t>落实情况</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69" w:type="dxa"/>
            <w:tcBorders>
              <w:bottom w:val="single" w:color="auto" w:sz="4" w:space="0"/>
            </w:tcBorders>
            <w:vAlign w:val="center"/>
          </w:tcPr>
          <w:p>
            <w:pPr>
              <w:ind w:firstLine="0" w:firstLineChars="0"/>
              <w:rPr>
                <w:rFonts w:hint="eastAsia" w:ascii="宋体" w:hAnsi="宋体" w:eastAsia="宋体" w:cs="宋体"/>
                <w:b/>
                <w:lang w:val="en-US" w:eastAsia="zh-CN"/>
              </w:rPr>
            </w:pPr>
            <w:r>
              <w:rPr>
                <w:rFonts w:hint="eastAsia" w:ascii="宋体" w:hAnsi="宋体" w:eastAsia="宋体" w:cs="宋体"/>
                <w:b/>
              </w:rPr>
              <w:t>废</w:t>
            </w:r>
            <w:r>
              <w:rPr>
                <w:rFonts w:hint="eastAsia" w:ascii="宋体" w:hAnsi="宋体" w:eastAsia="宋体" w:cs="宋体"/>
                <w:b/>
                <w:lang w:val="en-US" w:eastAsia="zh-CN"/>
              </w:rPr>
              <w:t>水</w:t>
            </w:r>
          </w:p>
        </w:tc>
        <w:tc>
          <w:tcPr>
            <w:tcW w:w="3630" w:type="dxa"/>
            <w:tcBorders>
              <w:bottom w:val="single" w:color="auto" w:sz="4" w:space="0"/>
            </w:tcBorders>
            <w:vAlign w:val="center"/>
          </w:tcPr>
          <w:p>
            <w:pPr>
              <w:keepNext w:val="0"/>
              <w:keepLines w:val="0"/>
              <w:widowControl/>
              <w:suppressLineNumbers w:val="0"/>
              <w:spacing w:line="240" w:lineRule="auto"/>
              <w:ind w:left="0" w:leftChars="0" w:firstLine="0" w:firstLineChars="0"/>
              <w:jc w:val="left"/>
              <w:rPr>
                <w:rFonts w:ascii="宋体" w:hAnsi="宋体" w:eastAsia="宋体" w:cs="宋体"/>
                <w:sz w:val="21"/>
                <w:szCs w:val="21"/>
              </w:rPr>
            </w:pPr>
            <w:r>
              <w:rPr>
                <w:rFonts w:hint="eastAsia" w:ascii="宋体" w:hAnsi="宋体" w:eastAsia="宋体" w:cs="宋体"/>
                <w:color w:val="000000"/>
                <w:kern w:val="0"/>
                <w:sz w:val="21"/>
                <w:szCs w:val="21"/>
                <w:lang w:val="en-US" w:eastAsia="zh-CN" w:bidi="ar"/>
              </w:rPr>
              <w:t>（一）项目采用干清粪工艺，配套建设 100m3 /d 污水处理设施，养殖废水、初期雨水、生活污水统一经自建污水处理系统处理，水质执行《浙江省畜禽养殖业污染物排放标准》（DB33/593-2005) 标 准限 值 和《农 田灌 溉 水质 标 准》（GB5084-2005）中旱作标准后，用于周边林地浇灌，不外排。</w:t>
            </w:r>
          </w:p>
        </w:tc>
        <w:tc>
          <w:tcPr>
            <w:tcW w:w="2730" w:type="dxa"/>
            <w:vAlign w:val="center"/>
          </w:tcPr>
          <w:p>
            <w:pPr>
              <w:autoSpaceDE w:val="0"/>
              <w:autoSpaceDN w:val="0"/>
              <w:adjustRightInd w:val="0"/>
              <w:spacing w:line="240" w:lineRule="auto"/>
              <w:ind w:firstLine="0" w:firstLineChars="0"/>
              <w:rPr>
                <w:rFonts w:hint="default" w:cs="宋体" w:asciiTheme="minorEastAsia" w:hAnsiTheme="minorEastAsia" w:eastAsiaTheme="minorEastAsia"/>
                <w:sz w:val="21"/>
                <w:szCs w:val="21"/>
                <w:lang w:val="en-US" w:eastAsia="zh-CN"/>
              </w:rPr>
            </w:pPr>
            <w:r>
              <w:rPr>
                <w:rFonts w:hint="eastAsia" w:cs="宋体" w:asciiTheme="minorEastAsia" w:hAnsiTheme="minorEastAsia" w:eastAsiaTheme="minorEastAsia"/>
                <w:sz w:val="21"/>
                <w:szCs w:val="21"/>
                <w:lang w:val="en-US" w:eastAsia="zh-CN"/>
              </w:rPr>
              <w:t>企业采用干清粪养殖工艺，饲养过程少量的养殖废水混于牛粪和饲料残渣中一并委托浙江一海新能源有限公司作无害化处置，因无废水排放，</w:t>
            </w:r>
            <w:r>
              <w:rPr>
                <w:rFonts w:hint="eastAsia" w:ascii="宋体" w:hAnsi="宋体" w:eastAsia="宋体" w:cs="宋体"/>
                <w:color w:val="000000"/>
                <w:kern w:val="0"/>
                <w:sz w:val="21"/>
                <w:szCs w:val="21"/>
                <w:lang w:val="en-US" w:eastAsia="zh-CN" w:bidi="ar"/>
              </w:rPr>
              <w:t>配套的 100m3 /d 污水处理设施暂缓建设，企业利用原污水处理池作为初期雨水及事故应急池用，初期雨水、生活污水，用于周边林地浇灌，不外排。</w:t>
            </w:r>
          </w:p>
        </w:tc>
        <w:tc>
          <w:tcPr>
            <w:tcW w:w="1232" w:type="dxa"/>
            <w:vAlign w:val="center"/>
          </w:tcPr>
          <w:p>
            <w:pPr>
              <w:pStyle w:val="13"/>
              <w:jc w:val="center"/>
              <w:rPr>
                <w:rFonts w:hint="default" w:eastAsia="宋体"/>
                <w:lang w:val="en-US" w:eastAsia="zh-CN"/>
              </w:rPr>
            </w:pPr>
            <w:r>
              <w:rPr>
                <w:rFonts w:hint="eastAsia"/>
                <w:lang w:val="en-US" w:eastAsia="zh-CN"/>
              </w:rPr>
              <w:t>废水处理设施变更，暂缓建设。</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69" w:type="dxa"/>
            <w:tcBorders>
              <w:top w:val="single" w:color="auto" w:sz="4" w:space="0"/>
              <w:bottom w:val="single" w:color="auto" w:sz="4" w:space="0"/>
            </w:tcBorders>
            <w:vAlign w:val="center"/>
          </w:tcPr>
          <w:p>
            <w:pPr>
              <w:tabs>
                <w:tab w:val="left" w:pos="312"/>
              </w:tabs>
              <w:ind w:firstLine="0" w:firstLineChars="0"/>
              <w:rPr>
                <w:rFonts w:hint="eastAsia" w:ascii="宋体" w:hAnsi="宋体" w:eastAsia="宋体" w:cs="宋体"/>
                <w:lang w:val="en-US" w:eastAsia="zh-CN"/>
              </w:rPr>
            </w:pPr>
            <w:r>
              <w:rPr>
                <w:rFonts w:hint="eastAsia" w:ascii="宋体" w:hAnsi="宋体" w:eastAsia="宋体" w:cs="宋体"/>
                <w:b/>
                <w:bCs/>
                <w:lang w:val="en-US" w:eastAsia="zh-CN"/>
              </w:rPr>
              <w:t>废气</w:t>
            </w:r>
          </w:p>
        </w:tc>
        <w:tc>
          <w:tcPr>
            <w:tcW w:w="3630" w:type="dxa"/>
            <w:tcBorders>
              <w:top w:val="single" w:color="auto" w:sz="4" w:space="0"/>
              <w:bottom w:val="single" w:color="auto" w:sz="4" w:space="0"/>
            </w:tcBorders>
            <w:vAlign w:val="center"/>
          </w:tcPr>
          <w:p>
            <w:pPr>
              <w:keepNext w:val="0"/>
              <w:keepLines w:val="0"/>
              <w:widowControl/>
              <w:suppressLineNumbers w:val="0"/>
              <w:spacing w:line="240" w:lineRule="auto"/>
              <w:ind w:left="0" w:leftChars="0" w:firstLine="0" w:firstLineChars="0"/>
              <w:jc w:val="left"/>
              <w:rPr>
                <w:rFonts w:hAnsi="宋体" w:eastAsia="宋体" w:cs="宋体"/>
              </w:rPr>
            </w:pPr>
            <w:r>
              <w:rPr>
                <w:rFonts w:hint="eastAsia" w:ascii="宋体" w:hAnsi="宋体" w:eastAsia="宋体" w:cs="宋体"/>
                <w:color w:val="000000"/>
                <w:kern w:val="0"/>
                <w:sz w:val="21"/>
                <w:szCs w:val="21"/>
                <w:lang w:val="en-US" w:eastAsia="zh-CN" w:bidi="ar"/>
              </w:rPr>
              <w:t>（二）根据产生的废气特点采取针对性的收集及处理措施，确保废气达标排放。加强栏舍通风，定期喷淋除臭液。项目采用好氧发酵罐堆肥法并采用除臭剂喷淋处理后排放，好氧堆肥发酵废气和污水处理站恶臭废气排放执行《恶臭污染物排放标准》（GB14554-93）中的恶臭污染物排放标准值。 饲料加工粉尘执行执行《大气污染物综合排放标准》 （GB16297-1996)二级排放标准。场区无组织废气执行《大气污染物综合排放标准》（GB16297-1996)中新污染源的无组织排放监控浓度值、《恶臭污染物排放标准》（GB14554-93）中二级新扩改建项目厂界标准值和《畜禽养殖业污染物排放标准》（DB33/593-2005）中集约化畜禽养殖业恶臭污染物排放标准中的标准限值。食堂安装油烟净化器，油烟废气执行《饮食业油烟排放标准》（GB18483-2001）的小型标准。</w:t>
            </w:r>
          </w:p>
        </w:tc>
        <w:tc>
          <w:tcPr>
            <w:tcW w:w="2730" w:type="dxa"/>
            <w:vAlign w:val="center"/>
          </w:tcPr>
          <w:p>
            <w:pPr>
              <w:pStyle w:val="13"/>
              <w:rPr>
                <w:rFonts w:hint="default" w:eastAsia="宋体"/>
                <w:lang w:val="en-US" w:eastAsia="zh-CN"/>
              </w:rPr>
            </w:pPr>
            <w:r>
              <w:rPr>
                <w:rFonts w:hint="eastAsia"/>
                <w:lang w:val="en-US" w:eastAsia="zh-CN"/>
              </w:rPr>
              <w:t>企业采用了干清粪饲养工艺，</w:t>
            </w:r>
            <w:r>
              <w:rPr>
                <w:rFonts w:hint="eastAsia" w:cs="宋体" w:asciiTheme="minorEastAsia" w:hAnsiTheme="minorEastAsia" w:eastAsiaTheme="minorEastAsia"/>
                <w:sz w:val="21"/>
                <w:szCs w:val="21"/>
                <w:lang w:val="en-US" w:eastAsia="zh-CN"/>
              </w:rPr>
              <w:t>饲养过程基本无废水产生，原环评设计的有机肥基料生产工艺进行了变更，企业饲养过程中产生的</w:t>
            </w:r>
            <w:r>
              <w:rPr>
                <w:rFonts w:hint="eastAsia" w:asciiTheme="minorEastAsia" w:hAnsiTheme="minorEastAsia" w:eastAsiaTheme="minorEastAsia" w:cstheme="minorEastAsia"/>
                <w:b w:val="0"/>
                <w:bCs w:val="0"/>
                <w:color w:val="000000"/>
                <w:kern w:val="0"/>
                <w:sz w:val="21"/>
                <w:szCs w:val="21"/>
                <w:lang w:val="en-US" w:eastAsia="zh-CN" w:bidi="ar"/>
              </w:rPr>
              <w:t>牛粪便、饲料残渣及杂质和污泥收集后委托浙江一海新能源有限公司进行无害化处理。故</w:t>
            </w:r>
            <w:r>
              <w:rPr>
                <w:rFonts w:hint="eastAsia" w:ascii="宋体" w:hAnsi="宋体" w:eastAsia="宋体" w:cs="宋体"/>
                <w:color w:val="000000"/>
                <w:kern w:val="0"/>
                <w:sz w:val="21"/>
                <w:szCs w:val="21"/>
                <w:lang w:val="en-US" w:eastAsia="zh-CN" w:bidi="ar"/>
              </w:rPr>
              <w:t>好氧堆肥发酵废气和污水处理废气都不再产生，饲料加工粉尘经测定达到《大气污染物综合排放标准》 （GB16297-1996)二级排放标准。厂区无组织废气排放经现场测定均达到《大气污染物综合排放标准》（GB16297-1996)中新污染源的无组织排放监控浓度值、《恶臭污染物排放标准》（GB14554-93）中二级新扩改建项目厂界标准值和《畜禽养殖业污染物排放标准》</w:t>
            </w:r>
          </w:p>
        </w:tc>
        <w:tc>
          <w:tcPr>
            <w:tcW w:w="1232" w:type="dxa"/>
            <w:vAlign w:val="center"/>
          </w:tcPr>
          <w:p>
            <w:pPr>
              <w:pStyle w:val="31"/>
              <w:ind w:firstLine="0" w:firstLineChars="0"/>
              <w:jc w:val="center"/>
              <w:rPr>
                <w:rFonts w:hint="eastAsia" w:asciiTheme="minorEastAsia" w:hAnsiTheme="minorEastAsia" w:eastAsiaTheme="minorEastAsia"/>
                <w:sz w:val="21"/>
                <w:lang w:eastAsia="zh-CN"/>
              </w:rPr>
            </w:pPr>
            <w:r>
              <w:rPr>
                <w:rFonts w:hint="eastAsia" w:asciiTheme="minorEastAsia" w:hAnsiTheme="minorEastAsia" w:eastAsiaTheme="minorEastAsia"/>
                <w:sz w:val="21"/>
                <w:lang w:val="en-US" w:eastAsia="zh-CN"/>
              </w:rPr>
              <w:t>企业的饲养生产工艺有所变更，其余的废气排放治理按环评要求基本</w:t>
            </w:r>
            <w:r>
              <w:rPr>
                <w:rFonts w:hint="eastAsia" w:asciiTheme="minorEastAsia" w:hAnsiTheme="minorEastAsia" w:eastAsiaTheme="minorEastAsia"/>
                <w:sz w:val="21"/>
              </w:rPr>
              <w:t>落实</w:t>
            </w:r>
            <w:r>
              <w:rPr>
                <w:rFonts w:hint="eastAsia" w:asciiTheme="minorEastAsia" w:hAnsiTheme="minorEastAsia" w:eastAsiaTheme="minorEastAsia"/>
                <w:sz w:val="21"/>
                <w:lang w:eastAsia="zh-CN"/>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69" w:type="dxa"/>
            <w:tcBorders>
              <w:top w:val="single" w:color="auto" w:sz="4" w:space="0"/>
              <w:bottom w:val="single" w:color="auto" w:sz="4" w:space="0"/>
            </w:tcBorders>
            <w:vAlign w:val="center"/>
          </w:tcPr>
          <w:p>
            <w:pPr>
              <w:tabs>
                <w:tab w:val="left" w:pos="312"/>
              </w:tabs>
              <w:ind w:firstLine="0" w:firstLineChars="0"/>
              <w:rPr>
                <w:rFonts w:hint="eastAsia" w:ascii="宋体" w:hAnsi="宋体" w:eastAsia="宋体" w:cs="宋体"/>
                <w:lang w:val="en-US" w:eastAsia="zh-CN"/>
              </w:rPr>
            </w:pPr>
            <w:r>
              <w:rPr>
                <w:rFonts w:hint="eastAsia" w:ascii="宋体" w:hAnsi="宋体" w:eastAsia="宋体" w:cs="宋体"/>
                <w:b/>
                <w:bCs/>
                <w:lang w:val="en-US" w:eastAsia="zh-CN"/>
              </w:rPr>
              <w:t>噪声</w:t>
            </w:r>
          </w:p>
        </w:tc>
        <w:tc>
          <w:tcPr>
            <w:tcW w:w="3630" w:type="dxa"/>
            <w:tcBorders>
              <w:top w:val="single" w:color="auto" w:sz="4" w:space="0"/>
              <w:bottom w:val="single" w:color="auto" w:sz="4" w:space="0"/>
            </w:tcBorders>
            <w:vAlign w:val="center"/>
          </w:tcPr>
          <w:p>
            <w:pPr>
              <w:keepNext w:val="0"/>
              <w:keepLines w:val="0"/>
              <w:widowControl/>
              <w:suppressLineNumbers w:val="0"/>
              <w:spacing w:line="240" w:lineRule="auto"/>
              <w:ind w:left="0" w:leftChars="0" w:firstLine="0" w:firstLineChars="0"/>
              <w:jc w:val="left"/>
              <w:rPr>
                <w:rStyle w:val="39"/>
                <w:rFonts w:asciiTheme="minorEastAsia" w:hAnsiTheme="minorEastAsia" w:eastAsiaTheme="minorEastAsia"/>
              </w:rPr>
            </w:pPr>
            <w:r>
              <w:rPr>
                <w:rFonts w:hint="eastAsia" w:ascii="宋体" w:hAnsi="宋体" w:eastAsia="宋体" w:cs="宋体"/>
                <w:color w:val="000000"/>
                <w:kern w:val="0"/>
                <w:sz w:val="21"/>
                <w:szCs w:val="21"/>
                <w:lang w:val="en-US" w:eastAsia="zh-CN" w:bidi="ar"/>
              </w:rPr>
              <w:t>（三）建设应合理布局，并尽可能选取低噪声设备，对高噪声源须采取有效的隔音、降噪措施，确保本项目营运期各场界噪声达到《工业企业厂界环境噪声排放标准》（GB12348-2008）1 类标准</w:t>
            </w:r>
          </w:p>
        </w:tc>
        <w:tc>
          <w:tcPr>
            <w:tcW w:w="2730" w:type="dxa"/>
            <w:vAlign w:val="center"/>
          </w:tcPr>
          <w:p>
            <w:pPr>
              <w:pStyle w:val="13"/>
            </w:pPr>
            <w:r>
              <w:rPr>
                <w:rFonts w:hint="eastAsia" w:asciiTheme="minorEastAsia" w:hAnsiTheme="minorEastAsia" w:eastAsiaTheme="minorEastAsia" w:cstheme="minorEastAsia"/>
                <w:sz w:val="21"/>
                <w:szCs w:val="21"/>
                <w:vertAlign w:val="baseline"/>
                <w:lang w:val="en-US" w:eastAsia="zh-CN"/>
              </w:rPr>
              <w:t>企业采取了设备的减噪和降噪措施，根据厂界噪声测定结果，</w:t>
            </w:r>
            <w:r>
              <w:rPr>
                <w:rFonts w:hint="eastAsia" w:asciiTheme="minorEastAsia" w:hAnsiTheme="minorEastAsia" w:eastAsiaTheme="minorEastAsia" w:cstheme="minorEastAsia"/>
                <w:sz w:val="21"/>
                <w:szCs w:val="21"/>
                <w:lang w:val="en-US" w:eastAsia="zh-CN"/>
              </w:rPr>
              <w:t>企业在营运期间厂界噪声达到了</w:t>
            </w:r>
            <w:r>
              <w:rPr>
                <w:rFonts w:hint="eastAsia" w:ascii="宋体" w:hAnsi="宋体" w:eastAsia="宋体" w:cs="宋体"/>
                <w:sz w:val="21"/>
                <w:szCs w:val="21"/>
              </w:rPr>
              <w:t>《工业企业厂界环境噪声排放标准》（GB12348-2008）中的</w:t>
            </w:r>
            <w:r>
              <w:rPr>
                <w:rFonts w:hint="eastAsia" w:ascii="宋体" w:hAnsi="宋体" w:eastAsia="宋体" w:cs="宋体"/>
                <w:sz w:val="21"/>
                <w:szCs w:val="21"/>
                <w:lang w:val="en-US" w:eastAsia="zh-CN"/>
              </w:rPr>
              <w:t>1</w:t>
            </w:r>
            <w:r>
              <w:rPr>
                <w:rFonts w:hint="eastAsia" w:ascii="宋体" w:hAnsi="宋体" w:eastAsia="宋体" w:cs="宋体"/>
                <w:sz w:val="21"/>
                <w:szCs w:val="21"/>
              </w:rPr>
              <w:t>类标准</w:t>
            </w:r>
            <w:r>
              <w:rPr>
                <w:rFonts w:hint="eastAsia" w:ascii="宋体" w:hAnsi="宋体" w:eastAsia="宋体" w:cs="宋体"/>
                <w:sz w:val="21"/>
                <w:szCs w:val="21"/>
                <w:lang w:eastAsia="zh-CN"/>
              </w:rPr>
              <w:t>。</w:t>
            </w:r>
          </w:p>
        </w:tc>
        <w:tc>
          <w:tcPr>
            <w:tcW w:w="1232" w:type="dxa"/>
            <w:vAlign w:val="center"/>
          </w:tcPr>
          <w:p>
            <w:pPr>
              <w:pStyle w:val="31"/>
              <w:ind w:firstLine="0" w:firstLineChars="0"/>
              <w:jc w:val="center"/>
              <w:rPr>
                <w:rFonts w:asciiTheme="minorEastAsia" w:hAnsiTheme="minorEastAsia" w:eastAsiaTheme="minorEastAsia"/>
                <w:sz w:val="21"/>
              </w:rPr>
            </w:pPr>
            <w:r>
              <w:rPr>
                <w:rFonts w:hint="eastAsia" w:asciiTheme="minorEastAsia" w:hAnsiTheme="minorEastAsia" w:eastAsiaTheme="minorEastAsia"/>
                <w:sz w:val="21"/>
              </w:rPr>
              <w:t>基本</w:t>
            </w:r>
            <w:r>
              <w:rPr>
                <w:rFonts w:asciiTheme="minorEastAsia" w:hAnsiTheme="minorEastAsia" w:eastAsiaTheme="minorEastAsia"/>
                <w:sz w:val="21"/>
              </w:rPr>
              <w:t>落实</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769" w:type="dxa"/>
            <w:tcBorders>
              <w:top w:val="single" w:color="auto" w:sz="4" w:space="0"/>
              <w:bottom w:val="single" w:color="auto" w:sz="4" w:space="0"/>
            </w:tcBorders>
            <w:vAlign w:val="center"/>
          </w:tcPr>
          <w:p>
            <w:pPr>
              <w:tabs>
                <w:tab w:val="left" w:pos="312"/>
              </w:tabs>
              <w:ind w:firstLine="0" w:firstLineChars="0"/>
              <w:rPr>
                <w:rFonts w:hint="eastAsia" w:ascii="宋体" w:hAnsi="宋体" w:eastAsia="宋体" w:cs="宋体"/>
                <w:lang w:val="en-US" w:eastAsia="zh-CN"/>
              </w:rPr>
            </w:pPr>
            <w:r>
              <w:rPr>
                <w:rFonts w:hint="eastAsia" w:ascii="宋体" w:hAnsi="宋体" w:eastAsia="宋体" w:cs="宋体"/>
                <w:b/>
                <w:bCs/>
                <w:lang w:val="en-US" w:eastAsia="zh-CN"/>
              </w:rPr>
              <w:t>固废</w:t>
            </w:r>
          </w:p>
        </w:tc>
        <w:tc>
          <w:tcPr>
            <w:tcW w:w="3630" w:type="dxa"/>
            <w:tcBorders>
              <w:top w:val="single" w:color="auto" w:sz="4" w:space="0"/>
              <w:bottom w:val="single" w:color="auto" w:sz="4" w:space="0"/>
            </w:tcBorders>
            <w:vAlign w:val="center"/>
          </w:tcPr>
          <w:p>
            <w:pPr>
              <w:keepNext w:val="0"/>
              <w:keepLines w:val="0"/>
              <w:widowControl/>
              <w:suppressLineNumbers w:val="0"/>
              <w:spacing w:line="240" w:lineRule="auto"/>
              <w:ind w:left="0" w:leftChars="0" w:firstLine="0" w:firstLineChars="0"/>
              <w:jc w:val="left"/>
            </w:pPr>
            <w:r>
              <w:rPr>
                <w:rFonts w:hint="eastAsia" w:ascii="宋体" w:hAnsi="宋体" w:eastAsia="宋体" w:cs="宋体"/>
                <w:color w:val="000000"/>
                <w:kern w:val="0"/>
                <w:sz w:val="21"/>
                <w:szCs w:val="21"/>
                <w:lang w:val="en-US" w:eastAsia="zh-CN" w:bidi="ar"/>
              </w:rPr>
              <w:t>（四）按照“资源化、减量化、无害化”处置原则，建 立台账制度，规范设置废物暂存库，固体废物分类收集、堆 放、分质处置，尽可能实现资源的综合利用。需委托处置的危险废物必须委托有相应危废处理资质且具备处理能力的单位进行处置。对委托处置危险废物的必须按照有关规定办 理危险废物转移报批手续，严格执行危险废物转移联单制度。严禁委托无危险货物运输资质的单位运输危险废物，严禁委托无相应危废处理资质的个人和单位处置危险废物，严禁非法排放、倾倒、处置危险废物。</w:t>
            </w:r>
          </w:p>
        </w:tc>
        <w:tc>
          <w:tcPr>
            <w:tcW w:w="2730" w:type="dxa"/>
            <w:vAlign w:val="center"/>
          </w:tcPr>
          <w:p>
            <w:pPr>
              <w:autoSpaceDE w:val="0"/>
              <w:autoSpaceDN w:val="0"/>
              <w:adjustRightInd w:val="0"/>
              <w:spacing w:line="240" w:lineRule="auto"/>
              <w:ind w:firstLine="0" w:firstLineChars="0"/>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企业按照固废</w:t>
            </w:r>
            <w:r>
              <w:rPr>
                <w:rFonts w:hint="eastAsia" w:ascii="宋体" w:hAnsi="宋体" w:eastAsia="宋体" w:cs="宋体"/>
                <w:color w:val="000000"/>
                <w:kern w:val="0"/>
                <w:sz w:val="21"/>
                <w:szCs w:val="21"/>
                <w:lang w:val="en-US" w:eastAsia="zh-CN" w:bidi="ar"/>
              </w:rPr>
              <w:t>“资源化、减量化、无害化”的处置原则将</w:t>
            </w:r>
            <w:r>
              <w:rPr>
                <w:rFonts w:hint="eastAsia" w:cs="宋体" w:asciiTheme="minorEastAsia" w:hAnsiTheme="minorEastAsia" w:eastAsiaTheme="minorEastAsia"/>
                <w:sz w:val="21"/>
                <w:szCs w:val="21"/>
                <w:lang w:val="en-US" w:eastAsia="zh-CN"/>
              </w:rPr>
              <w:t>饲养过程中产生的</w:t>
            </w:r>
            <w:r>
              <w:rPr>
                <w:rFonts w:hint="eastAsia" w:asciiTheme="minorEastAsia" w:hAnsiTheme="minorEastAsia" w:eastAsiaTheme="minorEastAsia" w:cstheme="minorEastAsia"/>
                <w:b w:val="0"/>
                <w:bCs w:val="0"/>
                <w:color w:val="000000"/>
                <w:kern w:val="0"/>
                <w:sz w:val="21"/>
                <w:szCs w:val="21"/>
                <w:lang w:val="en-US" w:eastAsia="zh-CN" w:bidi="ar"/>
              </w:rPr>
              <w:t>牛粪便、饲料残渣及杂质和污泥收集后委托浙江一海新能源有限公司进行无害化处理。病死牛按照农业部门的管理规定，</w:t>
            </w:r>
            <w:r>
              <w:rPr>
                <w:rFonts w:hint="eastAsia" w:ascii="宋体" w:hAnsi="宋体" w:eastAsia="宋体" w:cs="宋体"/>
                <w:color w:val="000000"/>
                <w:kern w:val="0"/>
                <w:sz w:val="21"/>
                <w:szCs w:val="21"/>
                <w:lang w:val="en-US" w:eastAsia="zh-CN" w:bidi="ar"/>
              </w:rPr>
              <w:t>病死牛委托</w:t>
            </w:r>
            <w:r>
              <w:rPr>
                <w:rFonts w:hint="eastAsia" w:asciiTheme="minorEastAsia" w:hAnsiTheme="minorEastAsia" w:eastAsiaTheme="minorEastAsia" w:cstheme="minorEastAsia"/>
                <w:color w:val="000000"/>
                <w:kern w:val="0"/>
                <w:sz w:val="21"/>
                <w:szCs w:val="21"/>
                <w:lang w:val="en-US" w:eastAsia="zh-CN" w:bidi="ar"/>
              </w:rPr>
              <w:t>衢州市衢江区泰华动物无害化处理厂统一处理，企业养殖过程中产生的少量危险废物按规定暂时存放在企业专门设置的危废间，达一定数量后委托有资质单位进行处置。</w:t>
            </w:r>
          </w:p>
        </w:tc>
        <w:tc>
          <w:tcPr>
            <w:tcW w:w="1232" w:type="dxa"/>
            <w:vAlign w:val="center"/>
          </w:tcPr>
          <w:p>
            <w:pPr>
              <w:pStyle w:val="13"/>
              <w:jc w:val="center"/>
              <w:rPr>
                <w:rFonts w:hint="default"/>
                <w:lang w:val="en-US"/>
              </w:rPr>
            </w:pPr>
            <w:r>
              <w:rPr>
                <w:rFonts w:hint="eastAsia" w:asciiTheme="minorEastAsia" w:hAnsiTheme="minorEastAsia" w:eastAsiaTheme="minorEastAsia" w:cstheme="minorEastAsia"/>
                <w:sz w:val="21"/>
                <w:szCs w:val="21"/>
                <w:lang w:val="en-US" w:eastAsia="zh-CN"/>
              </w:rPr>
              <w:t>企业的有机肥生产基料的生产工艺进行了变更，企业所产生的一般固废均委托外单位处置，其余固废按环评批复要求落实。</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8" w:hRule="atLeast"/>
          <w:jc w:val="center"/>
        </w:trPr>
        <w:tc>
          <w:tcPr>
            <w:tcW w:w="769" w:type="dxa"/>
            <w:vAlign w:val="center"/>
          </w:tcPr>
          <w:p>
            <w:pPr>
              <w:spacing w:line="240" w:lineRule="auto"/>
              <w:ind w:firstLine="0" w:firstLineChars="0"/>
              <w:rPr>
                <w:rFonts w:ascii="宋体" w:hAnsi="宋体" w:eastAsia="宋体" w:cs="宋体"/>
                <w:b/>
              </w:rPr>
            </w:pPr>
            <w:r>
              <w:rPr>
                <w:rFonts w:ascii="宋体" w:hAnsi="宋体" w:eastAsia="宋体" w:cs="宋体"/>
                <w:b/>
              </w:rPr>
              <w:t>总量控制</w:t>
            </w:r>
          </w:p>
        </w:tc>
        <w:tc>
          <w:tcPr>
            <w:tcW w:w="3630" w:type="dxa"/>
            <w:vAlign w:val="center"/>
          </w:tcPr>
          <w:p>
            <w:pPr>
              <w:keepNext w:val="0"/>
              <w:keepLines w:val="0"/>
              <w:widowControl/>
              <w:suppressLineNumbers w:val="0"/>
              <w:spacing w:line="240" w:lineRule="auto"/>
              <w:ind w:left="0" w:leftChars="0" w:firstLine="0" w:firstLineChars="0"/>
              <w:jc w:val="left"/>
            </w:pPr>
            <w:r>
              <w:rPr>
                <w:rFonts w:hint="eastAsia" w:ascii="宋体" w:hAnsi="宋体" w:eastAsia="宋体" w:cs="宋体"/>
                <w:color w:val="000000"/>
                <w:kern w:val="0"/>
                <w:sz w:val="21"/>
                <w:szCs w:val="21"/>
                <w:lang w:val="en-US" w:eastAsia="zh-CN" w:bidi="ar"/>
              </w:rPr>
              <w:t>本项目为农业项目，且废水零排放，无需进行总量调剂。</w:t>
            </w:r>
          </w:p>
        </w:tc>
        <w:tc>
          <w:tcPr>
            <w:tcW w:w="2730" w:type="dxa"/>
            <w:vAlign w:val="center"/>
          </w:tcPr>
          <w:p>
            <w:pPr>
              <w:pStyle w:val="13"/>
              <w:ind w:firstLine="420" w:firstLineChars="200"/>
              <w:rPr>
                <w:rFonts w:hint="default" w:eastAsia="宋体"/>
                <w:lang w:val="en-US" w:eastAsia="zh-CN"/>
              </w:rPr>
            </w:pPr>
            <w:bookmarkStart w:id="239" w:name="_GoBack"/>
            <w:bookmarkEnd w:id="239"/>
            <w:r>
              <w:rPr>
                <w:rFonts w:hint="eastAsia"/>
                <w:lang w:val="en-US" w:eastAsia="zh-CN"/>
              </w:rPr>
              <w:t>无总量控制指标</w:t>
            </w:r>
          </w:p>
        </w:tc>
        <w:tc>
          <w:tcPr>
            <w:tcW w:w="1232" w:type="dxa"/>
            <w:vAlign w:val="center"/>
          </w:tcPr>
          <w:p>
            <w:pPr>
              <w:ind w:firstLine="0" w:firstLineChars="0"/>
              <w:jc w:val="center"/>
              <w:rPr>
                <w:rFonts w:ascii="宋体" w:hAnsi="宋体" w:eastAsia="宋体" w:cs="宋体"/>
                <w:sz w:val="21"/>
                <w:szCs w:val="21"/>
              </w:rPr>
            </w:pPr>
            <w:r>
              <w:rPr>
                <w:rFonts w:hint="eastAsia" w:ascii="宋体" w:hAnsi="宋体" w:eastAsia="宋体" w:cs="宋体"/>
                <w:sz w:val="21"/>
                <w:szCs w:val="21"/>
              </w:rPr>
              <w:t>落实</w:t>
            </w:r>
          </w:p>
        </w:tc>
      </w:tr>
    </w:tbl>
    <w:p>
      <w:pPr>
        <w:pStyle w:val="2"/>
        <w:numPr>
          <w:ilvl w:val="0"/>
          <w:numId w:val="0"/>
        </w:numPr>
        <w:spacing w:line="360" w:lineRule="auto"/>
        <w:ind w:firstLine="480" w:firstLineChars="200"/>
        <w:rPr>
          <w:rFonts w:hint="eastAsia" w:ascii="宋体" w:hAnsi="宋体" w:eastAsia="宋体" w:cs="宋体"/>
          <w:b w:val="0"/>
          <w:bCs w:val="0"/>
          <w:color w:val="000000"/>
          <w:kern w:val="0"/>
          <w:sz w:val="24"/>
          <w:szCs w:val="24"/>
          <w:lang w:val="en-US" w:eastAsia="zh-CN" w:bidi="ar"/>
        </w:rPr>
      </w:pPr>
      <w:bookmarkStart w:id="195" w:name="_Toc27993"/>
      <w:bookmarkStart w:id="196" w:name="_Toc22624"/>
      <w:bookmarkStart w:id="197" w:name="_Toc1997"/>
      <w:r>
        <w:rPr>
          <w:rFonts w:hint="eastAsia" w:ascii="宋体" w:hAnsi="宋体" w:cs="宋体"/>
          <w:b w:val="0"/>
          <w:bCs w:val="0"/>
          <w:sz w:val="24"/>
          <w:szCs w:val="24"/>
          <w:lang w:val="en-US" w:eastAsia="zh-CN"/>
        </w:rPr>
        <w:t>我们对该项目一期按照环评批复的要求落实情况进行了现场核查，企业的污染防治措施基本能按环评和批复的要求进行落实，</w:t>
      </w:r>
      <w:r>
        <w:rPr>
          <w:rFonts w:hint="eastAsia" w:asciiTheme="minorEastAsia" w:hAnsiTheme="minorEastAsia" w:eastAsiaTheme="minorEastAsia" w:cstheme="minorEastAsia"/>
          <w:b w:val="0"/>
          <w:bCs w:val="0"/>
          <w:sz w:val="24"/>
          <w:szCs w:val="24"/>
          <w:lang w:val="en-US" w:eastAsia="zh-CN"/>
        </w:rPr>
        <w:t>①企业采用干清粪养殖工艺，饲养过程少量的养殖废水混于牛粪和饲料残渣中一并委托浙江一海新能源有限公司作无害化处置，因无废水排放，故</w:t>
      </w:r>
      <w:r>
        <w:rPr>
          <w:rFonts w:hint="eastAsia" w:asciiTheme="minorEastAsia" w:hAnsiTheme="minorEastAsia" w:eastAsiaTheme="minorEastAsia" w:cstheme="minorEastAsia"/>
          <w:b w:val="0"/>
          <w:bCs w:val="0"/>
          <w:color w:val="000000"/>
          <w:kern w:val="0"/>
          <w:sz w:val="24"/>
          <w:szCs w:val="24"/>
          <w:lang w:val="en-US" w:eastAsia="zh-CN" w:bidi="ar"/>
        </w:rPr>
        <w:t>配套的 100m</w:t>
      </w:r>
      <w:r>
        <w:rPr>
          <w:rFonts w:hint="eastAsia" w:asciiTheme="minorEastAsia" w:hAnsiTheme="minorEastAsia" w:eastAsiaTheme="minorEastAsia" w:cstheme="minorEastAsia"/>
          <w:b w:val="0"/>
          <w:bCs w:val="0"/>
          <w:color w:val="000000"/>
          <w:kern w:val="0"/>
          <w:sz w:val="24"/>
          <w:szCs w:val="24"/>
          <w:vertAlign w:val="superscript"/>
          <w:lang w:val="en-US" w:eastAsia="zh-CN" w:bidi="ar"/>
        </w:rPr>
        <w:t xml:space="preserve">3 </w:t>
      </w:r>
      <w:r>
        <w:rPr>
          <w:rFonts w:hint="eastAsia" w:asciiTheme="minorEastAsia" w:hAnsiTheme="minorEastAsia" w:eastAsiaTheme="minorEastAsia" w:cstheme="minorEastAsia"/>
          <w:b w:val="0"/>
          <w:bCs w:val="0"/>
          <w:color w:val="000000"/>
          <w:kern w:val="0"/>
          <w:sz w:val="24"/>
          <w:szCs w:val="24"/>
          <w:lang w:val="en-US" w:eastAsia="zh-CN" w:bidi="ar"/>
        </w:rPr>
        <w:t>/d 污水处理设施没暂缓建设，企业利用原污水处理池作为初期雨水及事故应急池用，初期雨水、生活污水，执行（DB33/593-2005) 标 准限 值 和《农 田灌 溉 水质 标 准》（GB5084-2005）中旱作标准后，用于周边林地浇灌，不外排。</w:t>
      </w:r>
      <w:r>
        <w:rPr>
          <w:rFonts w:hint="eastAsia" w:ascii="宋体" w:hAnsi="宋体" w:eastAsia="宋体" w:cs="宋体"/>
          <w:b w:val="0"/>
          <w:bCs w:val="0"/>
          <w:color w:val="000000"/>
          <w:kern w:val="0"/>
          <w:sz w:val="24"/>
          <w:szCs w:val="24"/>
          <w:lang w:val="en-US" w:eastAsia="zh-CN" w:bidi="ar"/>
        </w:rPr>
        <w:t>②</w:t>
      </w:r>
      <w:r>
        <w:rPr>
          <w:rFonts w:hint="eastAsia" w:asciiTheme="minorEastAsia" w:hAnsiTheme="minorEastAsia" w:eastAsiaTheme="minorEastAsia" w:cstheme="minorEastAsia"/>
          <w:b w:val="0"/>
          <w:bCs w:val="0"/>
          <w:color w:val="000000"/>
          <w:kern w:val="0"/>
          <w:sz w:val="24"/>
          <w:szCs w:val="24"/>
          <w:lang w:val="en-US" w:eastAsia="zh-CN" w:bidi="ar"/>
        </w:rPr>
        <w:t>企业的废气处理能做到</w:t>
      </w:r>
      <w:r>
        <w:rPr>
          <w:rFonts w:hint="eastAsia" w:ascii="宋体" w:hAnsi="宋体" w:eastAsia="宋体" w:cs="宋体"/>
          <w:b w:val="0"/>
          <w:bCs w:val="0"/>
          <w:color w:val="000000"/>
          <w:kern w:val="0"/>
          <w:sz w:val="24"/>
          <w:szCs w:val="24"/>
          <w:lang w:val="en-US" w:eastAsia="zh-CN" w:bidi="ar"/>
        </w:rPr>
        <w:t>栏舍通风，定期喷淋除臭液</w:t>
      </w:r>
      <w:r>
        <w:rPr>
          <w:rFonts w:hint="eastAsia" w:ascii="宋体" w:hAnsi="宋体" w:cs="宋体"/>
          <w:b w:val="0"/>
          <w:bCs w:val="0"/>
          <w:color w:val="000000"/>
          <w:kern w:val="0"/>
          <w:sz w:val="24"/>
          <w:szCs w:val="24"/>
          <w:lang w:val="en-US" w:eastAsia="zh-CN" w:bidi="ar"/>
        </w:rPr>
        <w:t>；</w:t>
      </w:r>
      <w:r>
        <w:rPr>
          <w:rFonts w:hint="eastAsia" w:asciiTheme="minorEastAsia" w:hAnsiTheme="minorEastAsia" w:eastAsiaTheme="minorEastAsia" w:cstheme="minorEastAsia"/>
          <w:b w:val="0"/>
          <w:bCs w:val="0"/>
          <w:sz w:val="24"/>
          <w:szCs w:val="24"/>
          <w:vertAlign w:val="baseline"/>
          <w:lang w:val="en-US" w:eastAsia="zh-CN"/>
        </w:rPr>
        <w:t>饲料加工粉尘经布袋除尘器处理后高空排放；</w:t>
      </w:r>
      <w:r>
        <w:rPr>
          <w:rFonts w:hint="eastAsia" w:cs="宋体" w:asciiTheme="minorEastAsia" w:hAnsiTheme="minorEastAsia" w:eastAsiaTheme="minorEastAsia"/>
          <w:b w:val="0"/>
          <w:bCs w:val="0"/>
          <w:sz w:val="24"/>
          <w:szCs w:val="24"/>
          <w:lang w:val="en-US" w:eastAsia="zh-CN"/>
        </w:rPr>
        <w:t>原环评设计的有机肥基料生产工艺进行了变更，</w:t>
      </w:r>
      <w:r>
        <w:rPr>
          <w:rFonts w:hint="eastAsia" w:asciiTheme="minorEastAsia" w:hAnsiTheme="minorEastAsia" w:eastAsiaTheme="minorEastAsia" w:cstheme="minorEastAsia"/>
          <w:b w:val="0"/>
          <w:bCs w:val="0"/>
          <w:color w:val="000000"/>
          <w:kern w:val="0"/>
          <w:sz w:val="24"/>
          <w:szCs w:val="24"/>
          <w:lang w:val="en-US" w:eastAsia="zh-CN" w:bidi="ar"/>
        </w:rPr>
        <w:t>故</w:t>
      </w:r>
      <w:r>
        <w:rPr>
          <w:rFonts w:hint="eastAsia" w:ascii="宋体" w:hAnsi="宋体" w:eastAsia="宋体" w:cs="宋体"/>
          <w:b w:val="0"/>
          <w:bCs w:val="0"/>
          <w:color w:val="000000"/>
          <w:kern w:val="0"/>
          <w:sz w:val="24"/>
          <w:szCs w:val="24"/>
          <w:lang w:val="en-US" w:eastAsia="zh-CN" w:bidi="ar"/>
        </w:rPr>
        <w:t>好氧堆肥发酵废气</w:t>
      </w:r>
      <w:r>
        <w:rPr>
          <w:rFonts w:hint="eastAsia" w:ascii="宋体" w:hAnsi="宋体" w:cs="宋体"/>
          <w:b w:val="0"/>
          <w:bCs w:val="0"/>
          <w:color w:val="000000"/>
          <w:kern w:val="0"/>
          <w:sz w:val="24"/>
          <w:szCs w:val="24"/>
          <w:lang w:val="en-US" w:eastAsia="zh-CN" w:bidi="ar"/>
        </w:rPr>
        <w:t>、沼气</w:t>
      </w:r>
      <w:r>
        <w:rPr>
          <w:rFonts w:hint="eastAsia" w:ascii="宋体" w:hAnsi="宋体" w:eastAsia="宋体" w:cs="宋体"/>
          <w:b w:val="0"/>
          <w:bCs w:val="0"/>
          <w:color w:val="000000"/>
          <w:kern w:val="0"/>
          <w:sz w:val="24"/>
          <w:szCs w:val="24"/>
          <w:lang w:val="en-US" w:eastAsia="zh-CN" w:bidi="ar"/>
        </w:rPr>
        <w:t>和污水处理废气</w:t>
      </w:r>
      <w:r>
        <w:rPr>
          <w:rFonts w:hint="eastAsia" w:ascii="宋体" w:hAnsi="宋体" w:cs="宋体"/>
          <w:b w:val="0"/>
          <w:bCs w:val="0"/>
          <w:color w:val="000000"/>
          <w:kern w:val="0"/>
          <w:sz w:val="24"/>
          <w:szCs w:val="24"/>
          <w:lang w:val="en-US" w:eastAsia="zh-CN" w:bidi="ar"/>
        </w:rPr>
        <w:t>目前都没有</w:t>
      </w:r>
      <w:r>
        <w:rPr>
          <w:rFonts w:hint="eastAsia" w:ascii="宋体" w:hAnsi="宋体" w:eastAsia="宋体" w:cs="宋体"/>
          <w:b w:val="0"/>
          <w:bCs w:val="0"/>
          <w:color w:val="000000"/>
          <w:kern w:val="0"/>
          <w:sz w:val="24"/>
          <w:szCs w:val="24"/>
          <w:lang w:val="en-US" w:eastAsia="zh-CN" w:bidi="ar"/>
        </w:rPr>
        <w:t>产生</w:t>
      </w:r>
      <w:r>
        <w:rPr>
          <w:rFonts w:hint="eastAsia" w:asciiTheme="minorEastAsia" w:hAnsiTheme="minorEastAsia" w:eastAsiaTheme="minorEastAsia" w:cstheme="minorEastAsia"/>
          <w:b w:val="0"/>
          <w:bCs w:val="0"/>
          <w:sz w:val="24"/>
          <w:szCs w:val="24"/>
          <w:vertAlign w:val="baseline"/>
          <w:lang w:val="en-US" w:eastAsia="zh-CN"/>
        </w:rPr>
        <w:t>。</w:t>
      </w:r>
      <w:r>
        <w:rPr>
          <w:rFonts w:hint="eastAsia" w:ascii="宋体" w:hAnsi="宋体" w:eastAsia="宋体" w:cs="宋体"/>
          <w:b w:val="0"/>
          <w:bCs w:val="0"/>
          <w:sz w:val="24"/>
          <w:szCs w:val="24"/>
          <w:vertAlign w:val="baseline"/>
          <w:lang w:val="en-US" w:eastAsia="zh-CN"/>
        </w:rPr>
        <w:t>③项目布局</w:t>
      </w:r>
      <w:r>
        <w:rPr>
          <w:rFonts w:hint="eastAsia" w:ascii="宋体" w:hAnsi="宋体" w:cs="宋体"/>
          <w:b w:val="0"/>
          <w:bCs w:val="0"/>
          <w:sz w:val="24"/>
          <w:szCs w:val="24"/>
          <w:vertAlign w:val="baseline"/>
          <w:lang w:val="en-US" w:eastAsia="zh-CN"/>
        </w:rPr>
        <w:t>基本</w:t>
      </w:r>
      <w:r>
        <w:rPr>
          <w:rFonts w:hint="eastAsia" w:ascii="宋体" w:hAnsi="宋体" w:eastAsia="宋体" w:cs="宋体"/>
          <w:b w:val="0"/>
          <w:bCs w:val="0"/>
          <w:sz w:val="24"/>
          <w:szCs w:val="24"/>
          <w:vertAlign w:val="baseline"/>
          <w:lang w:val="en-US" w:eastAsia="zh-CN"/>
        </w:rPr>
        <w:t>合理，高效噪声源进行了有效的降噪处理，项目噪声排放执行厂界噪声一级标准，噪声对周边环境处于可接受范围内。④固废处置能按环评批复要求，企业建有固废暂存场所。能做到</w:t>
      </w:r>
      <w:r>
        <w:rPr>
          <w:rFonts w:hint="eastAsia" w:ascii="宋体" w:hAnsi="宋体" w:eastAsia="宋体" w:cs="宋体"/>
          <w:b w:val="0"/>
          <w:bCs w:val="0"/>
          <w:color w:val="000000"/>
          <w:kern w:val="0"/>
          <w:sz w:val="24"/>
          <w:szCs w:val="24"/>
          <w:lang w:val="en-US" w:eastAsia="zh-CN" w:bidi="ar"/>
        </w:rPr>
        <w:t>固体废物分类收集、堆 放、分质处置</w:t>
      </w:r>
      <w:r>
        <w:rPr>
          <w:rFonts w:hint="eastAsia" w:ascii="宋体" w:hAnsi="宋体" w:cs="宋体"/>
          <w:b w:val="0"/>
          <w:bCs w:val="0"/>
          <w:color w:val="000000"/>
          <w:kern w:val="0"/>
          <w:sz w:val="24"/>
          <w:szCs w:val="24"/>
          <w:lang w:val="en-US" w:eastAsia="zh-CN" w:bidi="ar"/>
        </w:rPr>
        <w:t>。</w:t>
      </w:r>
      <w:r>
        <w:rPr>
          <w:rFonts w:hint="eastAsia" w:ascii="宋体" w:hAnsi="宋体" w:eastAsia="宋体" w:cs="宋体"/>
          <w:b w:val="0"/>
          <w:bCs w:val="0"/>
          <w:color w:val="000000"/>
          <w:kern w:val="0"/>
          <w:sz w:val="24"/>
          <w:szCs w:val="24"/>
          <w:lang w:val="en-US" w:eastAsia="zh-CN" w:bidi="ar"/>
        </w:rPr>
        <w:t>⑤本项目为农业项目，且废水零排放，无需进行总量调剂。</w:t>
      </w:r>
      <w:bookmarkEnd w:id="195"/>
      <w:bookmarkEnd w:id="196"/>
      <w:bookmarkEnd w:id="197"/>
    </w:p>
    <w:p>
      <w:pPr>
        <w:bidi w:val="0"/>
        <w:spacing w:line="360" w:lineRule="auto"/>
        <w:rPr>
          <w:rFonts w:hint="eastAsia"/>
          <w:lang w:val="en-US" w:eastAsia="zh-CN"/>
        </w:rPr>
      </w:pPr>
      <w:r>
        <w:rPr>
          <w:rFonts w:hint="eastAsia" w:asciiTheme="minorEastAsia" w:hAnsiTheme="minorEastAsia" w:eastAsiaTheme="minorEastAsia"/>
          <w:b w:val="0"/>
          <w:bCs w:val="0"/>
          <w:sz w:val="24"/>
          <w:szCs w:val="24"/>
          <w:lang w:val="en-US" w:eastAsia="zh-CN"/>
        </w:rPr>
        <w:t>项目有机肥基料的生产工艺和</w:t>
      </w:r>
      <w:r>
        <w:rPr>
          <w:rFonts w:hint="eastAsia" w:asciiTheme="minorEastAsia" w:hAnsiTheme="minorEastAsia" w:eastAsiaTheme="minorEastAsia" w:cstheme="minorEastAsia"/>
          <w:b w:val="0"/>
          <w:bCs w:val="0"/>
          <w:sz w:val="24"/>
          <w:szCs w:val="24"/>
          <w:vertAlign w:val="baseline"/>
          <w:lang w:val="en-US" w:eastAsia="zh-CN"/>
        </w:rPr>
        <w:t>好</w:t>
      </w:r>
      <w:r>
        <w:rPr>
          <w:rFonts w:hint="eastAsia" w:asciiTheme="minorEastAsia" w:hAnsiTheme="minorEastAsia" w:eastAsiaTheme="minorEastAsia" w:cstheme="minorEastAsia"/>
          <w:sz w:val="24"/>
          <w:szCs w:val="24"/>
          <w:vertAlign w:val="baseline"/>
          <w:lang w:val="en-US" w:eastAsia="zh-CN"/>
        </w:rPr>
        <w:t>氧堆肥的废气处理设施变更以及污水处理设施的暂缓建设，按环保管理有关规定要求，履行了向衢江区生态环境分局请示汇报的相关手续，</w:t>
      </w:r>
      <w:r>
        <w:rPr>
          <w:rFonts w:hint="eastAsia" w:ascii="宋体" w:hAnsi="宋体" w:eastAsia="宋体" w:cs="宋体"/>
          <w:lang w:val="en-US" w:eastAsia="zh-CN"/>
        </w:rPr>
        <w:t xml:space="preserve"> </w:t>
      </w:r>
      <w:r>
        <w:rPr>
          <w:rFonts w:hint="eastAsia" w:asciiTheme="minorEastAsia" w:hAnsiTheme="minorEastAsia" w:eastAsiaTheme="minorEastAsia" w:cstheme="minorEastAsia"/>
          <w:b w:val="0"/>
          <w:bCs/>
          <w:sz w:val="24"/>
          <w:szCs w:val="24"/>
          <w:vertAlign w:val="baseline"/>
          <w:lang w:val="en-US" w:eastAsia="zh-CN"/>
        </w:rPr>
        <w:t>牛粪、饲料残渣及杂质</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b w:val="0"/>
          <w:bCs/>
          <w:sz w:val="24"/>
          <w:szCs w:val="24"/>
          <w:vertAlign w:val="baseline"/>
          <w:lang w:val="en-US" w:eastAsia="zh-CN"/>
        </w:rPr>
        <w:t>废水处理污泥等</w:t>
      </w:r>
      <w:r>
        <w:rPr>
          <w:rFonts w:hint="eastAsia" w:asciiTheme="minorEastAsia" w:hAnsiTheme="minorEastAsia" w:eastAsiaTheme="minorEastAsia" w:cstheme="minorEastAsia"/>
          <w:b w:val="0"/>
          <w:bCs w:val="0"/>
          <w:color w:val="000000"/>
          <w:kern w:val="0"/>
          <w:sz w:val="24"/>
          <w:szCs w:val="24"/>
          <w:lang w:val="en-US" w:eastAsia="zh-CN" w:bidi="ar"/>
        </w:rPr>
        <w:t>委托浙江一海新能源有限公司进行无害化处置，因肉牛饲养采用了干清粪工艺，饲养过程少量的养殖废水混于牛粪和饲料残渣中一并委托浙江一海新能源有限公司作无害化</w:t>
      </w:r>
      <w:r>
        <w:rPr>
          <w:rFonts w:hint="eastAsia" w:asciiTheme="minorEastAsia" w:hAnsiTheme="minorEastAsia" w:eastAsiaTheme="minorEastAsia" w:cstheme="minorEastAsia"/>
          <w:sz w:val="24"/>
          <w:szCs w:val="24"/>
          <w:lang w:val="en-US" w:eastAsia="zh-CN"/>
        </w:rPr>
        <w:t>处置；协议见附件3 。</w:t>
      </w:r>
    </w:p>
    <w:p>
      <w:pPr>
        <w:pStyle w:val="5"/>
        <w:spacing w:line="360" w:lineRule="auto"/>
        <w:outlineLvl w:val="0"/>
        <w:rPr>
          <w:rFonts w:hint="eastAsia" w:asciiTheme="minorEastAsia" w:hAnsiTheme="minorEastAsia" w:eastAsiaTheme="minorEastAsia" w:cstheme="minorEastAsia"/>
          <w:sz w:val="30"/>
          <w:szCs w:val="30"/>
          <w:lang w:val="en-US" w:eastAsia="zh-CN"/>
        </w:rPr>
      </w:pPr>
      <w:bookmarkStart w:id="198" w:name="_Toc18336"/>
      <w:r>
        <w:rPr>
          <w:rFonts w:hint="eastAsia" w:ascii="宋体" w:hAnsi="宋体" w:eastAsia="宋体" w:cs="宋体"/>
          <w:sz w:val="30"/>
          <w:szCs w:val="30"/>
          <w:lang w:val="en-US" w:eastAsia="zh-CN"/>
        </w:rPr>
        <w:t>10、</w:t>
      </w:r>
      <w:r>
        <w:rPr>
          <w:rFonts w:hint="eastAsia" w:ascii="宋体" w:hAnsi="宋体" w:eastAsia="宋体" w:cs="宋体"/>
          <w:sz w:val="30"/>
          <w:szCs w:val="30"/>
        </w:rPr>
        <w:t>总结</w:t>
      </w:r>
      <w:bookmarkEnd w:id="186"/>
      <w:bookmarkEnd w:id="193"/>
      <w:bookmarkEnd w:id="198"/>
    </w:p>
    <w:p>
      <w:pPr>
        <w:pStyle w:val="28"/>
        <w:numPr>
          <w:ilvl w:val="0"/>
          <w:numId w:val="0"/>
        </w:numPr>
        <w:spacing w:line="360" w:lineRule="auto"/>
        <w:ind w:firstLine="480" w:firstLineChars="200"/>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企业在一期项目投入养殖试运行期间，项目过程中有机肥生产基料的生产工艺和污水处理设施进行了变更，对照重大变动清单判断，无重大变动，企业按环保管理有关规定要求，履行了项目变更的汇报和协同衢江区生态环境分局进行了现场踏勘，衢江区生态环境分局原则同意：“</w:t>
      </w:r>
      <w:r>
        <w:rPr>
          <w:rFonts w:hint="eastAsia" w:asciiTheme="minorEastAsia" w:hAnsiTheme="minorEastAsia" w:eastAsiaTheme="minorEastAsia" w:cstheme="minorEastAsia"/>
          <w:b w:val="0"/>
          <w:bCs w:val="0"/>
          <w:sz w:val="24"/>
          <w:szCs w:val="24"/>
          <w:lang w:val="en-US" w:eastAsia="zh-CN"/>
        </w:rPr>
        <w:t>衢江区铭泽公司将</w:t>
      </w:r>
      <w:r>
        <w:rPr>
          <w:rFonts w:hint="eastAsia" w:asciiTheme="minorEastAsia" w:hAnsiTheme="minorEastAsia" w:eastAsiaTheme="minorEastAsia" w:cstheme="minorEastAsia"/>
          <w:b w:val="0"/>
          <w:bCs w:val="0"/>
          <w:color w:val="000000"/>
          <w:kern w:val="0"/>
          <w:sz w:val="24"/>
          <w:szCs w:val="24"/>
          <w:lang w:val="en-US" w:eastAsia="zh-CN" w:bidi="ar"/>
        </w:rPr>
        <w:t>养殖过程中产生的牛粪便、沼渣、饲料残渣及杂质和污泥收集后委托浙江一海新能源有限公司进行无害化处理；因养殖采用了干清粪工艺，饲养过程中无养殖废水排放，后续的污水处理设施暂缓建设”，</w:t>
      </w:r>
      <w:r>
        <w:rPr>
          <w:rFonts w:hint="eastAsia" w:asciiTheme="minorEastAsia" w:hAnsiTheme="minorEastAsia" w:eastAsiaTheme="minorEastAsia" w:cstheme="minorEastAsia"/>
          <w:sz w:val="24"/>
          <w:szCs w:val="24"/>
          <w:lang w:val="en-US" w:eastAsia="zh-CN"/>
        </w:rPr>
        <w:t>衢江区生态环境分局原则同意：</w:t>
      </w:r>
      <w:r>
        <w:rPr>
          <w:rFonts w:hint="eastAsia" w:asciiTheme="minorEastAsia" w:hAnsiTheme="minorEastAsia" w:eastAsiaTheme="minorEastAsia" w:cstheme="minorEastAsia"/>
          <w:sz w:val="24"/>
          <w:szCs w:val="24"/>
          <w:lang w:eastAsia="zh-CN"/>
        </w:rPr>
        <w:t>浙江铭泽</w:t>
      </w:r>
      <w:r>
        <w:rPr>
          <w:rFonts w:hint="eastAsia" w:asciiTheme="minorEastAsia" w:hAnsiTheme="minorEastAsia" w:eastAsiaTheme="minorEastAsia" w:cstheme="minorEastAsia"/>
          <w:sz w:val="24"/>
          <w:szCs w:val="24"/>
          <w:lang w:val="en-US" w:eastAsia="zh-CN"/>
        </w:rPr>
        <w:t>农牧发展</w:t>
      </w:r>
      <w:r>
        <w:rPr>
          <w:rFonts w:hint="eastAsia" w:asciiTheme="minorEastAsia" w:hAnsiTheme="minorEastAsia" w:eastAsiaTheme="minorEastAsia" w:cstheme="minorEastAsia"/>
          <w:sz w:val="24"/>
          <w:szCs w:val="24"/>
          <w:lang w:eastAsia="zh-CN"/>
        </w:rPr>
        <w:t>有限公司衢江区铭泽公司肉牛养殖项目（</w:t>
      </w:r>
      <w:r>
        <w:rPr>
          <w:rFonts w:hint="eastAsia" w:asciiTheme="minorEastAsia" w:hAnsiTheme="minorEastAsia" w:eastAsiaTheme="minorEastAsia" w:cstheme="minorEastAsia"/>
          <w:sz w:val="24"/>
          <w:szCs w:val="24"/>
          <w:lang w:val="en-US" w:eastAsia="zh-CN"/>
        </w:rPr>
        <w:t>一期先行</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项目的竣工环境保护验收。</w:t>
      </w:r>
    </w:p>
    <w:p>
      <w:pPr>
        <w:pStyle w:val="28"/>
        <w:numPr>
          <w:ilvl w:val="0"/>
          <w:numId w:val="0"/>
        </w:numPr>
        <w:spacing w:line="360" w:lineRule="auto"/>
        <w:ind w:firstLine="720" w:firstLineChars="300"/>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本次验收时的养殖规模未达到项目环评的设计存栏及年出栏养殖规模</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val="en-US" w:eastAsia="zh-CN"/>
        </w:rPr>
        <w:t>企业视市场的需求将不断扩大养殖规模，</w:t>
      </w:r>
      <w:r>
        <w:rPr>
          <w:rFonts w:hint="eastAsia" w:asciiTheme="minorEastAsia" w:hAnsiTheme="minorEastAsia" w:eastAsiaTheme="minorEastAsia" w:cstheme="minorEastAsia"/>
          <w:color w:val="auto"/>
          <w:sz w:val="24"/>
          <w:szCs w:val="24"/>
        </w:rPr>
        <w:t>因此本次验收为：</w:t>
      </w:r>
      <w:r>
        <w:rPr>
          <w:rFonts w:hint="eastAsia" w:asciiTheme="minorEastAsia" w:hAnsiTheme="minorEastAsia" w:eastAsiaTheme="minorEastAsia" w:cstheme="minorEastAsia"/>
          <w:color w:val="auto"/>
          <w:sz w:val="24"/>
          <w:szCs w:val="24"/>
          <w:lang w:eastAsia="zh-CN"/>
        </w:rPr>
        <w:t>浙江铭泽</w:t>
      </w:r>
      <w:r>
        <w:rPr>
          <w:rFonts w:hint="eastAsia" w:asciiTheme="minorEastAsia" w:hAnsiTheme="minorEastAsia" w:eastAsiaTheme="minorEastAsia" w:cstheme="minorEastAsia"/>
          <w:color w:val="auto"/>
          <w:sz w:val="24"/>
          <w:szCs w:val="24"/>
          <w:lang w:val="en-US" w:eastAsia="zh-CN"/>
        </w:rPr>
        <w:t>农牧发展</w:t>
      </w:r>
      <w:r>
        <w:rPr>
          <w:rFonts w:hint="eastAsia" w:asciiTheme="minorEastAsia" w:hAnsiTheme="minorEastAsia" w:eastAsiaTheme="minorEastAsia" w:cstheme="minorEastAsia"/>
          <w:color w:val="auto"/>
          <w:sz w:val="24"/>
          <w:szCs w:val="24"/>
          <w:lang w:eastAsia="zh-CN"/>
        </w:rPr>
        <w:t>有限公司衢江区铭泽公司肉牛养殖项目（</w:t>
      </w:r>
      <w:r>
        <w:rPr>
          <w:rFonts w:hint="eastAsia" w:asciiTheme="minorEastAsia" w:hAnsiTheme="minorEastAsia" w:eastAsiaTheme="minorEastAsia" w:cstheme="minorEastAsia"/>
          <w:color w:val="auto"/>
          <w:sz w:val="24"/>
          <w:szCs w:val="24"/>
          <w:lang w:val="en-US" w:eastAsia="zh-CN"/>
        </w:rPr>
        <w:t>一期先行</w:t>
      </w:r>
      <w:r>
        <w:rPr>
          <w:rFonts w:hint="eastAsia" w:asciiTheme="minorEastAsia" w:hAnsiTheme="minorEastAsia" w:eastAsiaTheme="minorEastAsia" w:cstheme="minorEastAsia"/>
          <w:color w:val="auto"/>
          <w:sz w:val="24"/>
          <w:szCs w:val="24"/>
          <w:lang w:eastAsia="zh-CN"/>
        </w:rPr>
        <w:t>）</w:t>
      </w:r>
      <w:r>
        <w:rPr>
          <w:rFonts w:hint="eastAsia" w:asciiTheme="minorEastAsia" w:hAnsiTheme="minorEastAsia" w:eastAsiaTheme="minorEastAsia" w:cstheme="minorEastAsia"/>
          <w:color w:val="auto"/>
          <w:sz w:val="24"/>
          <w:szCs w:val="24"/>
          <w:lang w:val="en-US" w:eastAsia="zh-CN"/>
        </w:rPr>
        <w:t>项目的竣工环境保护验收。</w:t>
      </w:r>
    </w:p>
    <w:p>
      <w:pPr>
        <w:pStyle w:val="7"/>
        <w:spacing w:line="360" w:lineRule="auto"/>
        <w:ind w:left="0" w:leftChars="0" w:firstLine="480" w:firstLineChars="200"/>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由于企业在实际试运行过程中的生产工艺及环保设施发生了变更，①</w:t>
      </w:r>
      <w:r>
        <w:rPr>
          <w:rFonts w:hint="eastAsia" w:asciiTheme="minorEastAsia" w:hAnsiTheme="minorEastAsia" w:eastAsiaTheme="minorEastAsia" w:cstheme="minorEastAsia"/>
          <w:color w:val="auto"/>
          <w:sz w:val="24"/>
          <w:szCs w:val="24"/>
          <w:vertAlign w:val="baseline"/>
          <w:lang w:val="en-US" w:eastAsia="zh-CN"/>
        </w:rPr>
        <w:t>有机肥基料的生产工艺变更，不再进行有机肥基料的生产，故无废气排放。②</w:t>
      </w:r>
      <w:r>
        <w:rPr>
          <w:rFonts w:hint="eastAsia" w:asciiTheme="minorEastAsia" w:hAnsiTheme="minorEastAsia" w:eastAsiaTheme="minorEastAsia" w:cstheme="minorEastAsia"/>
          <w:color w:val="auto"/>
          <w:kern w:val="0"/>
          <w:sz w:val="24"/>
          <w:szCs w:val="24"/>
          <w:lang w:val="en-US" w:eastAsia="zh-CN" w:bidi="ar"/>
        </w:rPr>
        <w:t>企业采用干清粪养殖工艺，饲养过程中少量的养殖废水混于牛粪和饲料残渣中</w:t>
      </w:r>
      <w:r>
        <w:rPr>
          <w:rFonts w:hint="eastAsia" w:asciiTheme="minorEastAsia" w:hAnsiTheme="minorEastAsia" w:eastAsiaTheme="minorEastAsia" w:cstheme="minorEastAsia"/>
          <w:b w:val="0"/>
          <w:bCs w:val="0"/>
          <w:color w:val="auto"/>
          <w:kern w:val="0"/>
          <w:sz w:val="24"/>
          <w:szCs w:val="24"/>
          <w:lang w:val="en-US" w:eastAsia="zh-CN" w:bidi="ar"/>
        </w:rPr>
        <w:t>、饲料残渣中一并委托进行了处理，企业因无养殖废水排放，故企业配套的100m3/d污水处理设施目前暂缓建设。</w:t>
      </w:r>
    </w:p>
    <w:p>
      <w:pPr>
        <w:pStyle w:val="28"/>
        <w:numPr>
          <w:ilvl w:val="0"/>
          <w:numId w:val="0"/>
        </w:numPr>
        <w:spacing w:line="360" w:lineRule="auto"/>
        <w:ind w:firstLine="720" w:firstLineChars="30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eastAsia="zh-CN"/>
        </w:rPr>
        <w:t>除上述外，企业其余的各项环保措施都能按环评和环评批复的要求认真落实，环保设施与主体工程基本能做到同时设计、同时施工、同时投入运行。在试运行</w:t>
      </w:r>
      <w:r>
        <w:rPr>
          <w:rFonts w:hint="eastAsia" w:asciiTheme="minorEastAsia" w:hAnsiTheme="minorEastAsia" w:eastAsiaTheme="minorEastAsia" w:cstheme="minorEastAsia"/>
          <w:color w:val="auto"/>
          <w:sz w:val="24"/>
          <w:szCs w:val="24"/>
        </w:rPr>
        <w:t>期间</w:t>
      </w:r>
      <w:r>
        <w:rPr>
          <w:rFonts w:hint="eastAsia" w:asciiTheme="minorEastAsia" w:hAnsiTheme="minorEastAsia" w:eastAsiaTheme="minorEastAsia" w:cstheme="minorEastAsia"/>
          <w:color w:val="auto"/>
          <w:sz w:val="24"/>
          <w:szCs w:val="24"/>
          <w:lang w:val="en-US" w:eastAsia="zh-CN"/>
        </w:rPr>
        <w:t>污染防治设施运行基本正常，经现场测定企业的无组织排放、饲料粉碎粉尘排放的处理效率、昼夜的噪声都达到排放标准的限值要求，</w:t>
      </w:r>
      <w:r>
        <w:rPr>
          <w:rFonts w:hint="eastAsia" w:asciiTheme="minorEastAsia" w:hAnsiTheme="minorEastAsia" w:eastAsiaTheme="minorEastAsia" w:cstheme="minorEastAsia"/>
          <w:color w:val="auto"/>
          <w:sz w:val="24"/>
          <w:szCs w:val="24"/>
        </w:rPr>
        <w:t>项目产生的废水、废气、噪声治理有效，固体废物</w:t>
      </w:r>
      <w:r>
        <w:rPr>
          <w:rFonts w:hint="eastAsia" w:asciiTheme="minorEastAsia" w:hAnsiTheme="minorEastAsia" w:eastAsiaTheme="minorEastAsia" w:cstheme="minorEastAsia"/>
          <w:color w:val="auto"/>
          <w:sz w:val="24"/>
          <w:szCs w:val="24"/>
          <w:lang w:val="en-US" w:eastAsia="zh-CN"/>
        </w:rPr>
        <w:t>能</w:t>
      </w:r>
      <w:r>
        <w:rPr>
          <w:rFonts w:hint="eastAsia" w:asciiTheme="minorEastAsia" w:hAnsiTheme="minorEastAsia" w:eastAsiaTheme="minorEastAsia" w:cstheme="minorEastAsia"/>
          <w:color w:val="auto"/>
          <w:sz w:val="24"/>
          <w:szCs w:val="24"/>
        </w:rPr>
        <w:t>处置妥善，符合相关环保法律法规和“三同时”制度要求，基本具备验收条件。</w:t>
      </w:r>
    </w:p>
    <w:p>
      <w:pPr>
        <w:pStyle w:val="4"/>
        <w:spacing w:line="360" w:lineRule="auto"/>
        <w:outlineLvl w:val="0"/>
        <w:rPr>
          <w:rFonts w:hint="eastAsia" w:asciiTheme="minorEastAsia" w:hAnsiTheme="minorEastAsia" w:eastAsiaTheme="minorEastAsia" w:cstheme="minorEastAsia"/>
          <w:sz w:val="30"/>
          <w:szCs w:val="30"/>
        </w:rPr>
      </w:pPr>
      <w:bookmarkStart w:id="199" w:name="_Toc10595"/>
      <w:bookmarkStart w:id="200" w:name="_Toc19446"/>
      <w:bookmarkStart w:id="201" w:name="_Toc26098"/>
      <w:r>
        <w:rPr>
          <w:rFonts w:hint="eastAsia" w:asciiTheme="minorEastAsia" w:hAnsiTheme="minorEastAsia" w:eastAsiaTheme="minorEastAsia" w:cstheme="minorEastAsia"/>
          <w:sz w:val="30"/>
          <w:szCs w:val="30"/>
        </w:rPr>
        <w:t>1</w:t>
      </w:r>
      <w:r>
        <w:rPr>
          <w:rFonts w:hint="eastAsia" w:asciiTheme="minorEastAsia" w:hAnsiTheme="minorEastAsia" w:eastAsiaTheme="minorEastAsia" w:cstheme="minorEastAsia"/>
          <w:sz w:val="30"/>
          <w:szCs w:val="30"/>
          <w:lang w:val="en-US" w:eastAsia="zh-CN"/>
        </w:rPr>
        <w:t>1、</w:t>
      </w:r>
      <w:r>
        <w:rPr>
          <w:rFonts w:hint="eastAsia" w:asciiTheme="minorEastAsia" w:hAnsiTheme="minorEastAsia" w:eastAsiaTheme="minorEastAsia" w:cstheme="minorEastAsia"/>
          <w:sz w:val="30"/>
          <w:szCs w:val="30"/>
        </w:rPr>
        <w:t>建议</w:t>
      </w:r>
      <w:bookmarkEnd w:id="199"/>
      <w:bookmarkEnd w:id="200"/>
      <w:bookmarkEnd w:id="201"/>
    </w:p>
    <w:p>
      <w:pPr>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1、建立完善的环保责任制及专人负责，确保污染物排放不会超过相关标准；</w:t>
      </w:r>
    </w:p>
    <w:p>
      <w:pPr>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2、应定期向当地区环保和相关管理部门申报排污状况，并接受其依法监督与管理；</w:t>
      </w:r>
    </w:p>
    <w:p>
      <w:pPr>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3、制定相关应急预案，确保发生突发环境事故时，可以有效的处置，防止对周边环境和员工产生不利的影响；</w:t>
      </w:r>
    </w:p>
    <w:p>
      <w:pPr>
        <w:spacing w:line="360" w:lineRule="auto"/>
        <w:ind w:firstLine="48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4、严格执行安全生产相关规定，确保</w:t>
      </w:r>
      <w:r>
        <w:rPr>
          <w:rFonts w:hint="eastAsia" w:asciiTheme="minorEastAsia" w:hAnsiTheme="minorEastAsia" w:eastAsiaTheme="minorEastAsia" w:cstheme="minorEastAsia"/>
          <w:sz w:val="24"/>
          <w:szCs w:val="24"/>
          <w:lang w:val="en-US" w:eastAsia="zh-CN"/>
        </w:rPr>
        <w:t>环保</w:t>
      </w:r>
      <w:r>
        <w:rPr>
          <w:rFonts w:hint="eastAsia" w:asciiTheme="minorEastAsia" w:hAnsiTheme="minorEastAsia" w:eastAsiaTheme="minorEastAsia" w:cstheme="minorEastAsia"/>
          <w:sz w:val="24"/>
          <w:szCs w:val="24"/>
        </w:rPr>
        <w:t>设施管理、运行符合有关规定，并进一步建立</w:t>
      </w:r>
      <w:r>
        <w:rPr>
          <w:rFonts w:hint="eastAsia" w:asciiTheme="minorEastAsia" w:hAnsiTheme="minorEastAsia" w:eastAsiaTheme="minorEastAsia" w:cstheme="minorEastAsia"/>
          <w:sz w:val="24"/>
          <w:szCs w:val="24"/>
          <w:lang w:val="en-US" w:eastAsia="zh-CN"/>
        </w:rPr>
        <w:t>完善</w:t>
      </w:r>
      <w:r>
        <w:rPr>
          <w:rFonts w:hint="eastAsia" w:asciiTheme="minorEastAsia" w:hAnsiTheme="minorEastAsia" w:eastAsiaTheme="minorEastAsia" w:cstheme="minorEastAsia"/>
          <w:sz w:val="24"/>
          <w:szCs w:val="24"/>
        </w:rPr>
        <w:t>应急预案，建设事故应急池，不断提高对环境风险防范的控制措施。</w:t>
      </w:r>
    </w:p>
    <w:p>
      <w:pPr>
        <w:spacing w:line="360" w:lineRule="auto"/>
        <w:ind w:firstLine="480"/>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5、在后续项目建设的过程中，严格落实环评以及主管部门审批提出的各项环评治理措施要求，如目前“三废”产生和治理措施发生变化，应按照环评要求和审批意见落实治理措施。</w:t>
      </w:r>
    </w:p>
    <w:p>
      <w:pPr>
        <w:ind w:left="0" w:leftChars="0" w:firstLine="0" w:firstLineChars="0"/>
        <w:rPr>
          <w:rFonts w:ascii="宋体" w:hAnsi="宋体" w:eastAsia="宋体" w:cs="宋体"/>
        </w:rPr>
      </w:pPr>
    </w:p>
    <w:p>
      <w:pPr>
        <w:ind w:firstLine="480"/>
        <w:rPr>
          <w:rFonts w:ascii="宋体" w:hAnsi="宋体" w:eastAsia="宋体" w:cs="宋体"/>
        </w:rPr>
        <w:sectPr>
          <w:pgSz w:w="11906" w:h="16838"/>
          <w:pgMar w:top="1440" w:right="1800" w:bottom="1440" w:left="1800" w:header="907" w:footer="1134" w:gutter="0"/>
          <w:pgNumType w:fmt="decimal"/>
          <w:cols w:space="720" w:num="1"/>
          <w:docGrid w:type="lines" w:linePitch="326" w:charSpace="0"/>
        </w:sectPr>
      </w:pPr>
    </w:p>
    <w:p>
      <w:pPr>
        <w:keepNext/>
        <w:keepLines/>
        <w:spacing w:line="360" w:lineRule="auto"/>
        <w:ind w:firstLine="0" w:firstLineChars="0"/>
        <w:jc w:val="center"/>
        <w:outlineLvl w:val="1"/>
        <w:rPr>
          <w:rFonts w:ascii="宋体" w:hAnsi="宋体" w:eastAsia="宋体" w:cs="宋体"/>
          <w:b/>
          <w:bCs/>
          <w:kern w:val="44"/>
          <w:sz w:val="32"/>
          <w:szCs w:val="32"/>
        </w:rPr>
      </w:pPr>
      <w:bookmarkStart w:id="202" w:name="_Toc514765596"/>
      <w:bookmarkStart w:id="203" w:name="_Toc16754"/>
      <w:bookmarkStart w:id="204" w:name="_Toc17231"/>
      <w:bookmarkStart w:id="205" w:name="_Toc11447"/>
      <w:bookmarkStart w:id="206" w:name="_Toc19526"/>
      <w:bookmarkStart w:id="207" w:name="_Toc22447"/>
      <w:bookmarkStart w:id="208" w:name="_Toc516654708"/>
      <w:bookmarkStart w:id="209" w:name="_Toc23426"/>
      <w:bookmarkStart w:id="210" w:name="_Toc514530230"/>
      <w:r>
        <w:rPr>
          <w:rFonts w:hint="eastAsia" w:ascii="宋体" w:hAnsi="宋体" w:eastAsia="宋体" w:cs="宋体"/>
          <w:b/>
          <w:bCs/>
          <w:kern w:val="44"/>
          <w:sz w:val="32"/>
          <w:szCs w:val="32"/>
        </w:rPr>
        <w:t>建设项目工程竣工环境保护“三同时”验收登记表</w:t>
      </w:r>
      <w:bookmarkEnd w:id="202"/>
      <w:bookmarkEnd w:id="203"/>
      <w:bookmarkEnd w:id="204"/>
      <w:bookmarkEnd w:id="205"/>
      <w:bookmarkEnd w:id="206"/>
      <w:bookmarkEnd w:id="207"/>
      <w:bookmarkEnd w:id="208"/>
      <w:bookmarkEnd w:id="209"/>
      <w:bookmarkEnd w:id="210"/>
    </w:p>
    <w:p>
      <w:pPr>
        <w:widowControl/>
        <w:adjustRightInd w:val="0"/>
        <w:snapToGrid w:val="0"/>
        <w:spacing w:line="360" w:lineRule="auto"/>
        <w:ind w:firstLine="0" w:firstLineChars="0"/>
        <w:jc w:val="left"/>
        <w:rPr>
          <w:rFonts w:ascii="宋体" w:hAnsi="宋体" w:eastAsia="宋体" w:cs="宋体"/>
          <w:b/>
          <w:kern w:val="0"/>
          <w:sz w:val="21"/>
          <w:szCs w:val="21"/>
        </w:rPr>
      </w:pPr>
      <w:r>
        <w:rPr>
          <w:rFonts w:hint="eastAsia" w:ascii="宋体" w:hAnsi="宋体" w:eastAsia="宋体" w:cs="宋体"/>
          <w:b/>
          <w:kern w:val="0"/>
          <w:sz w:val="21"/>
          <w:szCs w:val="21"/>
        </w:rPr>
        <w:t>填表单位（盖章）</w:t>
      </w:r>
      <w:r>
        <w:rPr>
          <w:rFonts w:hint="eastAsia" w:ascii="宋体" w:hAnsi="宋体" w:eastAsia="宋体" w:cs="宋体"/>
          <w:b/>
          <w:sz w:val="21"/>
          <w:szCs w:val="21"/>
        </w:rPr>
        <w:t>：</w:t>
      </w:r>
      <w:r>
        <w:rPr>
          <w:rFonts w:hint="eastAsia" w:ascii="宋体" w:hAnsi="宋体" w:eastAsia="宋体" w:cs="宋体"/>
          <w:b/>
          <w:sz w:val="21"/>
          <w:szCs w:val="21"/>
          <w:lang w:eastAsia="zh-CN"/>
        </w:rPr>
        <w:t>浙江铭泽农牧发展有限公司</w:t>
      </w:r>
      <w:r>
        <w:rPr>
          <w:rFonts w:hint="eastAsia" w:ascii="宋体" w:hAnsi="宋体" w:eastAsia="宋体" w:cs="宋体"/>
          <w:b/>
          <w:kern w:val="0"/>
          <w:sz w:val="21"/>
          <w:szCs w:val="21"/>
        </w:rPr>
        <w:t xml:space="preserve">           填表人（签字）：                              项目经办人（签字）：</w:t>
      </w:r>
    </w:p>
    <w:tbl>
      <w:tblPr>
        <w:tblStyle w:val="23"/>
        <w:tblW w:w="157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0"/>
        <w:gridCol w:w="360"/>
        <w:gridCol w:w="681"/>
        <w:gridCol w:w="700"/>
        <w:gridCol w:w="748"/>
        <w:gridCol w:w="85"/>
        <w:gridCol w:w="1323"/>
        <w:gridCol w:w="66"/>
        <w:gridCol w:w="1105"/>
        <w:gridCol w:w="992"/>
        <w:gridCol w:w="7"/>
        <w:gridCol w:w="514"/>
        <w:gridCol w:w="522"/>
        <w:gridCol w:w="69"/>
        <w:gridCol w:w="1145"/>
        <w:gridCol w:w="1137"/>
        <w:gridCol w:w="1666"/>
        <w:gridCol w:w="534"/>
        <w:gridCol w:w="425"/>
        <w:gridCol w:w="96"/>
        <w:gridCol w:w="1208"/>
        <w:gridCol w:w="283"/>
        <w:gridCol w:w="718"/>
        <w:gridCol w:w="530"/>
        <w:gridCol w:w="3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0" w:type="dxa"/>
            <w:vMerge w:val="restart"/>
            <w:textDirection w:val="tbRlV"/>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建设项目</w:t>
            </w:r>
          </w:p>
        </w:tc>
        <w:tc>
          <w:tcPr>
            <w:tcW w:w="1741"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项目名称</w:t>
            </w:r>
          </w:p>
        </w:tc>
        <w:tc>
          <w:tcPr>
            <w:tcW w:w="5362" w:type="dxa"/>
            <w:gridSpan w:val="9"/>
            <w:vAlign w:val="center"/>
          </w:tcPr>
          <w:p>
            <w:pPr>
              <w:widowControl/>
              <w:adjustRightInd w:val="0"/>
              <w:snapToGrid w:val="0"/>
              <w:spacing w:line="240" w:lineRule="auto"/>
              <w:ind w:firstLine="0" w:firstLineChars="0"/>
              <w:rPr>
                <w:rFonts w:ascii="宋体" w:hAnsi="宋体" w:eastAsia="宋体" w:cs="宋体"/>
                <w:color w:val="000000"/>
                <w:sz w:val="15"/>
                <w:szCs w:val="15"/>
              </w:rPr>
            </w:pPr>
            <w:r>
              <w:rPr>
                <w:rFonts w:hint="eastAsia" w:asciiTheme="minorEastAsia" w:hAnsiTheme="minorEastAsia" w:eastAsiaTheme="minorEastAsia"/>
                <w:sz w:val="15"/>
                <w:szCs w:val="15"/>
                <w:lang w:eastAsia="zh-CN"/>
              </w:rPr>
              <w:t>浙江铭泽</w:t>
            </w:r>
            <w:r>
              <w:rPr>
                <w:rFonts w:hint="eastAsia" w:asciiTheme="minorEastAsia" w:hAnsiTheme="minorEastAsia" w:eastAsiaTheme="minorEastAsia"/>
                <w:sz w:val="15"/>
                <w:szCs w:val="15"/>
                <w:lang w:val="en-US" w:eastAsia="zh-CN"/>
              </w:rPr>
              <w:t>农牧发展</w:t>
            </w:r>
            <w:r>
              <w:rPr>
                <w:rFonts w:hint="eastAsia" w:asciiTheme="minorEastAsia" w:hAnsiTheme="minorEastAsia" w:eastAsiaTheme="minorEastAsia"/>
                <w:sz w:val="15"/>
                <w:szCs w:val="15"/>
                <w:lang w:eastAsia="zh-CN"/>
              </w:rPr>
              <w:t>有限公司衢江区铭泽公司肉牛养殖项目</w:t>
            </w:r>
          </w:p>
        </w:tc>
        <w:tc>
          <w:tcPr>
            <w:tcW w:w="2351"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项目代码</w:t>
            </w:r>
          </w:p>
        </w:tc>
        <w:tc>
          <w:tcPr>
            <w:tcW w:w="1666" w:type="dxa"/>
            <w:vAlign w:val="center"/>
          </w:tcPr>
          <w:p>
            <w:pPr>
              <w:widowControl/>
              <w:adjustRightInd w:val="0"/>
              <w:snapToGrid w:val="0"/>
              <w:ind w:firstLine="0" w:firstLineChars="0"/>
              <w:jc w:val="center"/>
              <w:rPr>
                <w:rFonts w:hint="default" w:ascii="宋体" w:hAnsi="宋体" w:eastAsia="宋体" w:cs="宋体"/>
                <w:color w:val="000000"/>
                <w:sz w:val="15"/>
                <w:szCs w:val="15"/>
                <w:lang w:val="en-US" w:eastAsia="zh-CN"/>
              </w:rPr>
            </w:pPr>
            <w:r>
              <w:rPr>
                <w:rFonts w:hint="eastAsia" w:ascii="宋体" w:hAnsi="宋体" w:eastAsia="宋体" w:cs="宋体"/>
                <w:color w:val="000000"/>
                <w:sz w:val="15"/>
                <w:szCs w:val="15"/>
                <w:lang w:val="en-US" w:eastAsia="zh-CN"/>
              </w:rPr>
              <w:t>A03</w:t>
            </w:r>
          </w:p>
        </w:tc>
        <w:tc>
          <w:tcPr>
            <w:tcW w:w="959"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建设地点</w:t>
            </w:r>
          </w:p>
        </w:tc>
        <w:tc>
          <w:tcPr>
            <w:tcW w:w="3234" w:type="dxa"/>
            <w:gridSpan w:val="6"/>
            <w:vAlign w:val="center"/>
          </w:tcPr>
          <w:p>
            <w:pPr>
              <w:widowControl/>
              <w:adjustRightInd w:val="0"/>
              <w:snapToGrid w:val="0"/>
              <w:ind w:firstLine="0" w:firstLineChars="0"/>
              <w:rPr>
                <w:rFonts w:ascii="宋体" w:hAnsi="宋体" w:eastAsia="宋体" w:cs="宋体"/>
                <w:color w:val="000000"/>
                <w:sz w:val="15"/>
                <w:szCs w:val="15"/>
              </w:rPr>
            </w:pPr>
            <w:r>
              <w:rPr>
                <w:rFonts w:hint="eastAsia" w:asciiTheme="minorEastAsia" w:hAnsiTheme="minorEastAsia" w:eastAsiaTheme="minorEastAsia" w:cstheme="minorEastAsia"/>
                <w:color w:val="000000"/>
                <w:kern w:val="0"/>
                <w:sz w:val="15"/>
                <w:szCs w:val="15"/>
                <w:lang w:val="en-US" w:eastAsia="zh-CN" w:bidi="ar"/>
              </w:rPr>
              <w:t>衢江区黄毛畈村黄巴垅附近的山地、林地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0" w:type="dxa"/>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1741"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行业类别</w:t>
            </w:r>
          </w:p>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（分类管理名录）</w:t>
            </w:r>
          </w:p>
        </w:tc>
        <w:tc>
          <w:tcPr>
            <w:tcW w:w="5362" w:type="dxa"/>
            <w:gridSpan w:val="9"/>
            <w:vAlign w:val="center"/>
          </w:tcPr>
          <w:p>
            <w:pPr>
              <w:widowControl/>
              <w:adjustRightInd w:val="0"/>
              <w:snapToGrid w:val="0"/>
              <w:ind w:firstLine="0" w:firstLineChars="0"/>
              <w:jc w:val="center"/>
              <w:rPr>
                <w:rFonts w:hint="default" w:ascii="宋体" w:hAnsi="宋体" w:eastAsia="宋体" w:cs="宋体"/>
                <w:color w:val="000000"/>
                <w:sz w:val="15"/>
                <w:szCs w:val="15"/>
                <w:lang w:val="en-US" w:eastAsia="zh-CN"/>
              </w:rPr>
            </w:pPr>
            <w:r>
              <w:rPr>
                <w:rFonts w:hint="eastAsia" w:ascii="宋体" w:hAnsi="宋体" w:eastAsia="宋体" w:cs="宋体"/>
                <w:color w:val="000000"/>
                <w:sz w:val="15"/>
                <w:szCs w:val="15"/>
                <w:lang w:val="en-US" w:eastAsia="zh-CN"/>
              </w:rPr>
              <w:t>畜牧业</w:t>
            </w:r>
          </w:p>
        </w:tc>
        <w:tc>
          <w:tcPr>
            <w:tcW w:w="2351"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建设性质</w:t>
            </w:r>
          </w:p>
        </w:tc>
        <w:tc>
          <w:tcPr>
            <w:tcW w:w="5859" w:type="dxa"/>
            <w:gridSpan w:val="9"/>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□改扩建  √新建 □ 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0" w:type="dxa"/>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1741"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设计生产能力</w:t>
            </w:r>
          </w:p>
        </w:tc>
        <w:tc>
          <w:tcPr>
            <w:tcW w:w="5362" w:type="dxa"/>
            <w:gridSpan w:val="9"/>
            <w:vAlign w:val="center"/>
          </w:tcPr>
          <w:p>
            <w:pPr>
              <w:widowControl/>
              <w:adjustRightInd w:val="0"/>
              <w:snapToGrid w:val="0"/>
              <w:spacing w:line="240" w:lineRule="auto"/>
              <w:ind w:firstLine="0" w:firstLineChars="0"/>
              <w:rPr>
                <w:rFonts w:ascii="宋体" w:hAnsi="宋体" w:eastAsia="宋体" w:cs="宋体"/>
                <w:color w:val="000000"/>
                <w:sz w:val="15"/>
                <w:szCs w:val="15"/>
              </w:rPr>
            </w:pPr>
            <w:r>
              <w:rPr>
                <w:rFonts w:hint="eastAsia" w:asciiTheme="minorEastAsia" w:hAnsiTheme="minorEastAsia" w:eastAsiaTheme="minorEastAsia" w:cstheme="minorEastAsia"/>
                <w:sz w:val="15"/>
                <w:szCs w:val="15"/>
                <w:lang w:val="en-US" w:eastAsia="zh-CN"/>
              </w:rPr>
              <w:t>建成后形成存栏2000头肉牛，年出栏2000头肉牛的养殖规模。</w:t>
            </w:r>
          </w:p>
        </w:tc>
        <w:tc>
          <w:tcPr>
            <w:tcW w:w="2351"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实际生产能力</w:t>
            </w:r>
          </w:p>
        </w:tc>
        <w:tc>
          <w:tcPr>
            <w:tcW w:w="2200" w:type="dxa"/>
            <w:gridSpan w:val="2"/>
            <w:vAlign w:val="center"/>
          </w:tcPr>
          <w:p>
            <w:pPr>
              <w:widowControl/>
              <w:adjustRightInd w:val="0"/>
              <w:snapToGrid w:val="0"/>
              <w:spacing w:line="240" w:lineRule="auto"/>
              <w:ind w:firstLine="300" w:firstLineChars="200"/>
              <w:rPr>
                <w:rFonts w:ascii="宋体" w:hAnsi="宋体" w:eastAsia="宋体" w:cs="宋体"/>
                <w:b/>
                <w:color w:val="000000"/>
                <w:sz w:val="15"/>
                <w:szCs w:val="15"/>
              </w:rPr>
            </w:pPr>
            <w:r>
              <w:rPr>
                <w:rFonts w:hint="eastAsia" w:asciiTheme="minorEastAsia" w:hAnsiTheme="minorEastAsia" w:eastAsiaTheme="minorEastAsia" w:cstheme="minorEastAsia"/>
                <w:sz w:val="15"/>
                <w:szCs w:val="15"/>
                <w:lang w:val="en-US" w:eastAsia="zh-CN"/>
              </w:rPr>
              <w:t>存栏200头肉牛</w:t>
            </w:r>
          </w:p>
        </w:tc>
        <w:tc>
          <w:tcPr>
            <w:tcW w:w="1729"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环评单位</w:t>
            </w:r>
          </w:p>
        </w:tc>
        <w:tc>
          <w:tcPr>
            <w:tcW w:w="1930" w:type="dxa"/>
            <w:gridSpan w:val="4"/>
            <w:vAlign w:val="center"/>
          </w:tcPr>
          <w:p>
            <w:pPr>
              <w:widowControl/>
              <w:adjustRightInd w:val="0"/>
              <w:snapToGrid w:val="0"/>
              <w:spacing w:line="240" w:lineRule="auto"/>
              <w:ind w:firstLine="0" w:firstLineChars="0"/>
              <w:rPr>
                <w:rFonts w:ascii="宋体" w:hAnsi="宋体" w:eastAsia="宋体" w:cs="宋体"/>
                <w:color w:val="000000"/>
                <w:sz w:val="15"/>
                <w:szCs w:val="15"/>
              </w:rPr>
            </w:pPr>
            <w:r>
              <w:rPr>
                <w:rFonts w:hint="eastAsia" w:ascii="宋体" w:hAnsi="宋体" w:eastAsia="宋体" w:cs="宋体"/>
                <w:b w:val="0"/>
                <w:bCs w:val="0"/>
                <w:color w:val="000000"/>
                <w:kern w:val="0"/>
                <w:sz w:val="15"/>
                <w:szCs w:val="15"/>
                <w:lang w:val="en-US" w:eastAsia="zh-CN" w:bidi="ar"/>
              </w:rPr>
              <w:t>浙江翠金环境科技</w:t>
            </w:r>
            <w:r>
              <w:rPr>
                <w:rFonts w:hint="eastAsia" w:ascii="宋体" w:hAnsi="宋体" w:eastAsia="宋体" w:cs="宋体"/>
                <w:sz w:val="15"/>
                <w:szCs w:val="15"/>
              </w:rPr>
              <w:t>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0" w:type="dxa"/>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1741"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环评文件审批机关</w:t>
            </w:r>
          </w:p>
        </w:tc>
        <w:tc>
          <w:tcPr>
            <w:tcW w:w="5362" w:type="dxa"/>
            <w:gridSpan w:val="9"/>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lang w:val="en-US" w:eastAsia="zh-CN"/>
              </w:rPr>
              <w:t>衢江区生态环境保护分局</w:t>
            </w:r>
          </w:p>
        </w:tc>
        <w:tc>
          <w:tcPr>
            <w:tcW w:w="2351"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审批文号</w:t>
            </w:r>
          </w:p>
        </w:tc>
        <w:tc>
          <w:tcPr>
            <w:tcW w:w="2200"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sz w:val="15"/>
                <w:szCs w:val="15"/>
                <w:lang w:val="en-US" w:eastAsia="zh-CN"/>
              </w:rPr>
              <w:t>衢</w:t>
            </w:r>
            <w:r>
              <w:rPr>
                <w:rFonts w:hint="eastAsia" w:ascii="宋体" w:hAnsi="宋体" w:eastAsia="宋体" w:cs="宋体"/>
                <w:sz w:val="15"/>
                <w:szCs w:val="15"/>
              </w:rPr>
              <w:t>江环建[20</w:t>
            </w:r>
            <w:r>
              <w:rPr>
                <w:rFonts w:hint="eastAsia" w:ascii="宋体" w:hAnsi="宋体" w:eastAsia="宋体" w:cs="宋体"/>
                <w:sz w:val="15"/>
                <w:szCs w:val="15"/>
                <w:lang w:val="en-US" w:eastAsia="zh-CN"/>
              </w:rPr>
              <w:t>21</w:t>
            </w:r>
            <w:r>
              <w:rPr>
                <w:rFonts w:hint="eastAsia" w:ascii="宋体" w:hAnsi="宋体" w:eastAsia="宋体" w:cs="宋体"/>
                <w:sz w:val="15"/>
                <w:szCs w:val="15"/>
              </w:rPr>
              <w:t>]35号</w:t>
            </w:r>
          </w:p>
        </w:tc>
        <w:tc>
          <w:tcPr>
            <w:tcW w:w="1729"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环评文件类型</w:t>
            </w:r>
          </w:p>
        </w:tc>
        <w:tc>
          <w:tcPr>
            <w:tcW w:w="1930" w:type="dxa"/>
            <w:gridSpan w:val="4"/>
            <w:vAlign w:val="center"/>
          </w:tcPr>
          <w:p>
            <w:pPr>
              <w:widowControl/>
              <w:adjustRightInd w:val="0"/>
              <w:snapToGrid w:val="0"/>
              <w:ind w:firstLine="0" w:firstLineChars="0"/>
              <w:jc w:val="center"/>
              <w:rPr>
                <w:rFonts w:hint="eastAsia" w:ascii="宋体" w:hAnsi="宋体" w:eastAsia="宋体" w:cs="宋体"/>
                <w:color w:val="000000"/>
                <w:sz w:val="15"/>
                <w:szCs w:val="15"/>
                <w:lang w:val="en-US" w:eastAsia="zh-CN"/>
              </w:rPr>
            </w:pPr>
            <w:r>
              <w:rPr>
                <w:rFonts w:hint="eastAsia" w:ascii="宋体" w:hAnsi="宋体" w:eastAsia="宋体" w:cs="宋体"/>
                <w:color w:val="000000"/>
                <w:sz w:val="15"/>
                <w:szCs w:val="15"/>
              </w:rPr>
              <w:t>报告</w:t>
            </w:r>
            <w:r>
              <w:rPr>
                <w:rFonts w:hint="eastAsia" w:ascii="宋体" w:hAnsi="宋体" w:eastAsia="宋体" w:cs="宋体"/>
                <w:color w:val="000000"/>
                <w:sz w:val="15"/>
                <w:szCs w:val="15"/>
                <w:lang w:val="en-US" w:eastAsia="zh-CN"/>
              </w:rPr>
              <w:t>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0" w:type="dxa"/>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1741"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开工日期</w:t>
            </w:r>
          </w:p>
        </w:tc>
        <w:tc>
          <w:tcPr>
            <w:tcW w:w="5362" w:type="dxa"/>
            <w:gridSpan w:val="9"/>
            <w:vAlign w:val="center"/>
          </w:tcPr>
          <w:p>
            <w:pPr>
              <w:widowControl/>
              <w:adjustRightInd w:val="0"/>
              <w:snapToGrid w:val="0"/>
              <w:ind w:firstLine="0" w:firstLineChars="0"/>
              <w:jc w:val="center"/>
              <w:rPr>
                <w:rFonts w:hint="default" w:ascii="宋体" w:hAnsi="宋体" w:eastAsia="宋体" w:cs="宋体"/>
                <w:color w:val="000000"/>
                <w:sz w:val="15"/>
                <w:szCs w:val="15"/>
                <w:lang w:val="en-US" w:eastAsia="zh-CN"/>
              </w:rPr>
            </w:pPr>
            <w:r>
              <w:rPr>
                <w:rFonts w:ascii="宋体" w:hAnsi="宋体" w:eastAsia="宋体" w:cs="宋体"/>
                <w:color w:val="000000"/>
                <w:sz w:val="15"/>
                <w:szCs w:val="15"/>
              </w:rPr>
              <w:t>20</w:t>
            </w:r>
            <w:r>
              <w:rPr>
                <w:rFonts w:hint="eastAsia" w:ascii="宋体" w:hAnsi="宋体" w:eastAsia="宋体" w:cs="宋体"/>
                <w:color w:val="000000"/>
                <w:sz w:val="15"/>
                <w:szCs w:val="15"/>
                <w:lang w:val="en-US" w:eastAsia="zh-CN"/>
              </w:rPr>
              <w:t>21.10</w:t>
            </w:r>
          </w:p>
        </w:tc>
        <w:tc>
          <w:tcPr>
            <w:tcW w:w="2351"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竣工日期</w:t>
            </w:r>
          </w:p>
        </w:tc>
        <w:tc>
          <w:tcPr>
            <w:tcW w:w="2200" w:type="dxa"/>
            <w:gridSpan w:val="2"/>
            <w:vAlign w:val="center"/>
          </w:tcPr>
          <w:p>
            <w:pPr>
              <w:widowControl/>
              <w:adjustRightInd w:val="0"/>
              <w:snapToGrid w:val="0"/>
              <w:ind w:firstLine="0" w:firstLineChars="0"/>
              <w:jc w:val="center"/>
              <w:rPr>
                <w:rFonts w:hint="default" w:ascii="宋体" w:hAnsi="宋体" w:eastAsia="宋体" w:cs="宋体"/>
                <w:color w:val="000000"/>
                <w:sz w:val="15"/>
                <w:szCs w:val="15"/>
                <w:lang w:val="en-US" w:eastAsia="zh-CN"/>
              </w:rPr>
            </w:pPr>
            <w:r>
              <w:rPr>
                <w:rFonts w:ascii="宋体" w:hAnsi="宋体" w:eastAsia="宋体" w:cs="宋体"/>
                <w:color w:val="000000"/>
                <w:sz w:val="15"/>
                <w:szCs w:val="15"/>
              </w:rPr>
              <w:t>20</w:t>
            </w:r>
            <w:r>
              <w:rPr>
                <w:rFonts w:hint="eastAsia" w:ascii="宋体" w:hAnsi="宋体" w:eastAsia="宋体" w:cs="宋体"/>
                <w:color w:val="000000"/>
                <w:sz w:val="15"/>
                <w:szCs w:val="15"/>
                <w:lang w:val="en-US" w:eastAsia="zh-CN"/>
              </w:rPr>
              <w:t>22.8</w:t>
            </w:r>
          </w:p>
        </w:tc>
        <w:tc>
          <w:tcPr>
            <w:tcW w:w="1729"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排污许可证申领时间</w:t>
            </w:r>
          </w:p>
        </w:tc>
        <w:tc>
          <w:tcPr>
            <w:tcW w:w="1930" w:type="dxa"/>
            <w:gridSpan w:val="4"/>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0" w:type="dxa"/>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1741"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环保设施设计单位</w:t>
            </w:r>
          </w:p>
        </w:tc>
        <w:tc>
          <w:tcPr>
            <w:tcW w:w="5362" w:type="dxa"/>
            <w:gridSpan w:val="9"/>
            <w:vAlign w:val="center"/>
          </w:tcPr>
          <w:p>
            <w:pPr>
              <w:widowControl/>
              <w:adjustRightInd w:val="0"/>
              <w:snapToGrid w:val="0"/>
              <w:ind w:firstLine="0" w:firstLineChars="0"/>
              <w:jc w:val="center"/>
              <w:rPr>
                <w:rFonts w:ascii="宋体" w:hAnsi="宋体" w:eastAsia="宋体" w:cs="宋体"/>
                <w:b/>
                <w:color w:val="000000"/>
                <w:kern w:val="0"/>
                <w:sz w:val="15"/>
                <w:szCs w:val="15"/>
              </w:rPr>
            </w:pPr>
            <w:r>
              <w:rPr>
                <w:rFonts w:hint="eastAsia" w:ascii="宋体" w:hAnsi="宋体" w:eastAsia="宋体" w:cs="宋体"/>
                <w:bCs/>
                <w:color w:val="000000"/>
                <w:kern w:val="0"/>
                <w:sz w:val="15"/>
                <w:szCs w:val="15"/>
              </w:rPr>
              <w:t>/</w:t>
            </w:r>
          </w:p>
        </w:tc>
        <w:tc>
          <w:tcPr>
            <w:tcW w:w="2351" w:type="dxa"/>
            <w:gridSpan w:val="3"/>
            <w:vAlign w:val="center"/>
          </w:tcPr>
          <w:p>
            <w:pPr>
              <w:widowControl/>
              <w:adjustRightInd w:val="0"/>
              <w:snapToGrid w:val="0"/>
              <w:ind w:firstLine="0" w:firstLineChars="0"/>
              <w:jc w:val="center"/>
              <w:rPr>
                <w:rFonts w:ascii="宋体" w:hAnsi="宋体" w:eastAsia="宋体" w:cs="宋体"/>
                <w:b/>
                <w:color w:val="000000"/>
                <w:kern w:val="0"/>
                <w:sz w:val="15"/>
                <w:szCs w:val="15"/>
              </w:rPr>
            </w:pPr>
            <w:r>
              <w:rPr>
                <w:rFonts w:hint="eastAsia" w:ascii="宋体" w:hAnsi="宋体" w:eastAsia="宋体" w:cs="宋体"/>
                <w:b/>
                <w:color w:val="000000"/>
                <w:kern w:val="0"/>
                <w:sz w:val="15"/>
                <w:szCs w:val="15"/>
              </w:rPr>
              <w:t>环保设施施工单位</w:t>
            </w:r>
          </w:p>
        </w:tc>
        <w:tc>
          <w:tcPr>
            <w:tcW w:w="2200"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Cs/>
                <w:color w:val="000000"/>
                <w:kern w:val="0"/>
                <w:sz w:val="15"/>
                <w:szCs w:val="15"/>
              </w:rPr>
              <w:t>/</w:t>
            </w:r>
          </w:p>
        </w:tc>
        <w:tc>
          <w:tcPr>
            <w:tcW w:w="1729"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本工程排污许可证编号</w:t>
            </w:r>
          </w:p>
        </w:tc>
        <w:tc>
          <w:tcPr>
            <w:tcW w:w="1930" w:type="dxa"/>
            <w:gridSpan w:val="4"/>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0" w:type="dxa"/>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1741"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验收单位</w:t>
            </w:r>
          </w:p>
        </w:tc>
        <w:tc>
          <w:tcPr>
            <w:tcW w:w="5362" w:type="dxa"/>
            <w:gridSpan w:val="9"/>
            <w:vAlign w:val="center"/>
          </w:tcPr>
          <w:p>
            <w:pPr>
              <w:widowControl/>
              <w:adjustRightInd w:val="0"/>
              <w:snapToGrid w:val="0"/>
              <w:ind w:firstLine="0" w:firstLineChars="0"/>
              <w:jc w:val="center"/>
              <w:rPr>
                <w:rFonts w:hint="default" w:ascii="宋体" w:hAnsi="宋体" w:eastAsia="宋体" w:cs="宋体"/>
                <w:b/>
                <w:color w:val="000000"/>
                <w:sz w:val="15"/>
                <w:szCs w:val="15"/>
                <w:lang w:val="en-US" w:eastAsia="zh-CN"/>
              </w:rPr>
            </w:pPr>
            <w:r>
              <w:rPr>
                <w:rFonts w:hint="eastAsia" w:ascii="宋体" w:hAnsi="宋体" w:eastAsia="宋体" w:cs="宋体"/>
                <w:color w:val="000000"/>
                <w:sz w:val="15"/>
                <w:szCs w:val="15"/>
                <w:lang w:eastAsia="zh-CN"/>
              </w:rPr>
              <w:t>浙江铭泽农牧发展有限公司</w:t>
            </w:r>
            <w:r>
              <w:rPr>
                <w:rFonts w:hint="eastAsia" w:ascii="宋体" w:hAnsi="宋体" w:eastAsia="宋体" w:cs="宋体"/>
                <w:color w:val="000000"/>
                <w:sz w:val="15"/>
                <w:szCs w:val="15"/>
                <w:lang w:val="en-US" w:eastAsia="zh-CN"/>
              </w:rPr>
              <w:t>衢江铭泽公司</w:t>
            </w:r>
          </w:p>
        </w:tc>
        <w:tc>
          <w:tcPr>
            <w:tcW w:w="2351"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环保设施监测单位</w:t>
            </w:r>
          </w:p>
        </w:tc>
        <w:tc>
          <w:tcPr>
            <w:tcW w:w="2200" w:type="dxa"/>
            <w:gridSpan w:val="2"/>
            <w:vAlign w:val="center"/>
          </w:tcPr>
          <w:p>
            <w:pPr>
              <w:widowControl/>
              <w:adjustRightInd w:val="0"/>
              <w:snapToGrid w:val="0"/>
              <w:ind w:firstLine="0" w:firstLineChars="0"/>
              <w:rPr>
                <w:rFonts w:hint="eastAsia" w:ascii="宋体" w:hAnsi="宋体" w:eastAsia="宋体" w:cs="宋体"/>
                <w:color w:val="000000"/>
                <w:sz w:val="13"/>
                <w:szCs w:val="13"/>
                <w:lang w:eastAsia="zh-CN"/>
              </w:rPr>
            </w:pPr>
            <w:r>
              <w:rPr>
                <w:rFonts w:hint="eastAsia" w:ascii="宋体" w:hAnsi="宋体" w:eastAsia="宋体" w:cs="宋体"/>
                <w:color w:val="000000"/>
                <w:kern w:val="0"/>
                <w:sz w:val="13"/>
                <w:szCs w:val="13"/>
                <w:lang w:eastAsia="zh-CN"/>
              </w:rPr>
              <w:t>杭州华安节能环保科技有限公司</w:t>
            </w:r>
          </w:p>
        </w:tc>
        <w:tc>
          <w:tcPr>
            <w:tcW w:w="1729"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验收监测时工况（％）</w:t>
            </w:r>
          </w:p>
        </w:tc>
        <w:tc>
          <w:tcPr>
            <w:tcW w:w="1930" w:type="dxa"/>
            <w:gridSpan w:val="4"/>
            <w:vAlign w:val="center"/>
          </w:tcPr>
          <w:p>
            <w:pPr>
              <w:widowControl/>
              <w:adjustRightInd w:val="0"/>
              <w:snapToGrid w:val="0"/>
              <w:ind w:firstLine="0" w:firstLineChars="0"/>
              <w:jc w:val="center"/>
              <w:rPr>
                <w:rFonts w:ascii="宋体" w:hAnsi="宋体" w:eastAsia="宋体" w:cs="宋体"/>
                <w:color w:val="000000"/>
                <w:sz w:val="15"/>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0" w:type="dxa"/>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1741"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投资总概算（万元）</w:t>
            </w:r>
          </w:p>
        </w:tc>
        <w:tc>
          <w:tcPr>
            <w:tcW w:w="5362" w:type="dxa"/>
            <w:gridSpan w:val="9"/>
            <w:vAlign w:val="center"/>
          </w:tcPr>
          <w:p>
            <w:pPr>
              <w:widowControl/>
              <w:adjustRightInd w:val="0"/>
              <w:snapToGrid w:val="0"/>
              <w:ind w:firstLine="0" w:firstLineChars="0"/>
              <w:jc w:val="center"/>
              <w:rPr>
                <w:rFonts w:ascii="宋体" w:hAnsi="宋体" w:eastAsia="宋体" w:cs="宋体"/>
                <w:bCs/>
                <w:color w:val="000000"/>
                <w:sz w:val="15"/>
                <w:szCs w:val="15"/>
              </w:rPr>
            </w:pPr>
            <w:r>
              <w:rPr>
                <w:rFonts w:hint="eastAsia" w:asciiTheme="minorEastAsia" w:hAnsiTheme="minorEastAsia" w:eastAsiaTheme="minorEastAsia" w:cstheme="minorEastAsia"/>
                <w:color w:val="000000"/>
                <w:kern w:val="0"/>
                <w:sz w:val="15"/>
                <w:szCs w:val="15"/>
                <w:lang w:val="en-US" w:eastAsia="zh-CN" w:bidi="ar"/>
              </w:rPr>
              <w:t>10426</w:t>
            </w:r>
          </w:p>
        </w:tc>
        <w:tc>
          <w:tcPr>
            <w:tcW w:w="2351" w:type="dxa"/>
            <w:gridSpan w:val="3"/>
            <w:vAlign w:val="center"/>
          </w:tcPr>
          <w:p>
            <w:pPr>
              <w:widowControl/>
              <w:tabs>
                <w:tab w:val="left" w:pos="690"/>
              </w:tabs>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环保投资总概算（万元）</w:t>
            </w:r>
          </w:p>
        </w:tc>
        <w:tc>
          <w:tcPr>
            <w:tcW w:w="2200" w:type="dxa"/>
            <w:gridSpan w:val="2"/>
            <w:vAlign w:val="center"/>
          </w:tcPr>
          <w:p>
            <w:pPr>
              <w:widowControl/>
              <w:adjustRightInd w:val="0"/>
              <w:snapToGrid w:val="0"/>
              <w:ind w:firstLine="0" w:firstLineChars="0"/>
              <w:jc w:val="center"/>
              <w:rPr>
                <w:rFonts w:hint="default" w:ascii="宋体" w:hAnsi="宋体" w:eastAsia="宋体" w:cs="宋体"/>
                <w:bCs/>
                <w:color w:val="000000"/>
                <w:sz w:val="15"/>
                <w:szCs w:val="15"/>
                <w:lang w:val="en-US" w:eastAsia="zh-CN"/>
              </w:rPr>
            </w:pPr>
            <w:r>
              <w:rPr>
                <w:rFonts w:hint="eastAsia" w:ascii="宋体" w:hAnsi="宋体" w:eastAsia="宋体" w:cs="宋体"/>
                <w:bCs/>
                <w:color w:val="000000"/>
                <w:sz w:val="15"/>
                <w:szCs w:val="15"/>
                <w:lang w:val="en-US" w:eastAsia="zh-CN"/>
              </w:rPr>
              <w:t>430</w:t>
            </w:r>
          </w:p>
        </w:tc>
        <w:tc>
          <w:tcPr>
            <w:tcW w:w="1729" w:type="dxa"/>
            <w:gridSpan w:val="3"/>
            <w:vAlign w:val="center"/>
          </w:tcPr>
          <w:p>
            <w:pPr>
              <w:widowControl/>
              <w:tabs>
                <w:tab w:val="left" w:pos="690"/>
              </w:tabs>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所占比例（%）</w:t>
            </w:r>
          </w:p>
        </w:tc>
        <w:tc>
          <w:tcPr>
            <w:tcW w:w="1930" w:type="dxa"/>
            <w:gridSpan w:val="4"/>
            <w:vAlign w:val="center"/>
          </w:tcPr>
          <w:p>
            <w:pPr>
              <w:widowControl/>
              <w:tabs>
                <w:tab w:val="left" w:pos="690"/>
              </w:tabs>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lang w:val="en-US" w:eastAsia="zh-CN"/>
              </w:rPr>
              <w:t>4.12</w:t>
            </w:r>
            <w:r>
              <w:rPr>
                <w:rFonts w:hint="eastAsia" w:ascii="宋体" w:hAnsi="宋体" w:eastAsia="宋体" w:cs="宋体"/>
                <w:color w:val="000000"/>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2" w:hRule="atLeast"/>
          <w:jc w:val="center"/>
        </w:trPr>
        <w:tc>
          <w:tcPr>
            <w:tcW w:w="390" w:type="dxa"/>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1741"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实际总投资（万元）</w:t>
            </w:r>
          </w:p>
        </w:tc>
        <w:tc>
          <w:tcPr>
            <w:tcW w:w="5362" w:type="dxa"/>
            <w:gridSpan w:val="9"/>
            <w:vAlign w:val="center"/>
          </w:tcPr>
          <w:p>
            <w:pPr>
              <w:widowControl/>
              <w:adjustRightInd w:val="0"/>
              <w:snapToGrid w:val="0"/>
              <w:ind w:firstLine="0" w:firstLineChars="0"/>
              <w:jc w:val="center"/>
              <w:rPr>
                <w:rFonts w:ascii="宋体" w:hAnsi="宋体" w:eastAsia="宋体" w:cs="宋体"/>
                <w:bCs/>
                <w:color w:val="000000"/>
                <w:sz w:val="15"/>
                <w:szCs w:val="15"/>
              </w:rPr>
            </w:pPr>
          </w:p>
        </w:tc>
        <w:tc>
          <w:tcPr>
            <w:tcW w:w="2351"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实际环保投资（万元）</w:t>
            </w:r>
          </w:p>
        </w:tc>
        <w:tc>
          <w:tcPr>
            <w:tcW w:w="2200" w:type="dxa"/>
            <w:gridSpan w:val="2"/>
            <w:vAlign w:val="center"/>
          </w:tcPr>
          <w:p>
            <w:pPr>
              <w:widowControl/>
              <w:adjustRightInd w:val="0"/>
              <w:snapToGrid w:val="0"/>
              <w:ind w:firstLine="0" w:firstLineChars="0"/>
              <w:jc w:val="center"/>
              <w:rPr>
                <w:rFonts w:ascii="宋体" w:hAnsi="宋体" w:eastAsia="宋体" w:cs="宋体"/>
                <w:bCs/>
                <w:color w:val="000000"/>
                <w:sz w:val="15"/>
                <w:szCs w:val="15"/>
              </w:rPr>
            </w:pPr>
          </w:p>
        </w:tc>
        <w:tc>
          <w:tcPr>
            <w:tcW w:w="1729"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所占比例（%）</w:t>
            </w:r>
          </w:p>
        </w:tc>
        <w:tc>
          <w:tcPr>
            <w:tcW w:w="1930" w:type="dxa"/>
            <w:gridSpan w:val="4"/>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0" w:type="dxa"/>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1741"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废水治理（万元）</w:t>
            </w:r>
          </w:p>
        </w:tc>
        <w:tc>
          <w:tcPr>
            <w:tcW w:w="748"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1474"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废气治理（万元）</w:t>
            </w:r>
          </w:p>
        </w:tc>
        <w:tc>
          <w:tcPr>
            <w:tcW w:w="1105"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1513"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噪声治理（万元）</w:t>
            </w:r>
          </w:p>
        </w:tc>
        <w:tc>
          <w:tcPr>
            <w:tcW w:w="522"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2351"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固体废物治理（万元）</w:t>
            </w:r>
          </w:p>
        </w:tc>
        <w:tc>
          <w:tcPr>
            <w:tcW w:w="2200"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p>
        </w:tc>
        <w:tc>
          <w:tcPr>
            <w:tcW w:w="1729"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绿化及生态（万元）</w:t>
            </w:r>
          </w:p>
        </w:tc>
        <w:tc>
          <w:tcPr>
            <w:tcW w:w="283"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248" w:type="dxa"/>
            <w:gridSpan w:val="2"/>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其他（万元）</w:t>
            </w:r>
          </w:p>
        </w:tc>
        <w:tc>
          <w:tcPr>
            <w:tcW w:w="399"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ascii="宋体" w:hAnsi="宋体" w:eastAsia="宋体" w:cs="宋体"/>
                <w:color w:val="000000"/>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390" w:type="dxa"/>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1741"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新增废水处理设施能力</w:t>
            </w:r>
          </w:p>
        </w:tc>
        <w:tc>
          <w:tcPr>
            <w:tcW w:w="5362" w:type="dxa"/>
            <w:gridSpan w:val="9"/>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2351"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新增废气处理设施能力</w:t>
            </w:r>
          </w:p>
        </w:tc>
        <w:tc>
          <w:tcPr>
            <w:tcW w:w="2200"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729"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年平均工作时</w:t>
            </w:r>
          </w:p>
        </w:tc>
        <w:tc>
          <w:tcPr>
            <w:tcW w:w="1930" w:type="dxa"/>
            <w:gridSpan w:val="4"/>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8小时/天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31" w:type="dxa"/>
            <w:gridSpan w:val="4"/>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运营单位</w:t>
            </w:r>
          </w:p>
        </w:tc>
        <w:tc>
          <w:tcPr>
            <w:tcW w:w="4319" w:type="dxa"/>
            <w:gridSpan w:val="6"/>
            <w:vAlign w:val="center"/>
          </w:tcPr>
          <w:p>
            <w:pPr>
              <w:widowControl/>
              <w:adjustRightInd w:val="0"/>
              <w:snapToGrid w:val="0"/>
              <w:ind w:firstLine="0" w:firstLineChars="0"/>
              <w:jc w:val="center"/>
              <w:rPr>
                <w:rFonts w:hint="eastAsia" w:ascii="宋体" w:hAnsi="宋体" w:eastAsia="宋体" w:cs="宋体"/>
                <w:color w:val="000000"/>
                <w:sz w:val="15"/>
                <w:szCs w:val="15"/>
                <w:lang w:eastAsia="zh-CN"/>
              </w:rPr>
            </w:pPr>
            <w:r>
              <w:rPr>
                <w:rFonts w:hint="eastAsia" w:ascii="宋体" w:hAnsi="宋体" w:eastAsia="宋体" w:cs="宋体"/>
                <w:color w:val="000000"/>
                <w:sz w:val="15"/>
                <w:szCs w:val="15"/>
                <w:lang w:eastAsia="zh-CN"/>
              </w:rPr>
              <w:t>浙江铭泽农牧发展有限公司</w:t>
            </w:r>
          </w:p>
        </w:tc>
        <w:tc>
          <w:tcPr>
            <w:tcW w:w="3394" w:type="dxa"/>
            <w:gridSpan w:val="6"/>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运营单位社会统一信用代码（或组织机构代码）</w:t>
            </w:r>
          </w:p>
        </w:tc>
        <w:tc>
          <w:tcPr>
            <w:tcW w:w="2200" w:type="dxa"/>
            <w:gridSpan w:val="2"/>
            <w:vAlign w:val="center"/>
          </w:tcPr>
          <w:p>
            <w:pPr>
              <w:widowControl/>
              <w:adjustRightInd w:val="0"/>
              <w:snapToGrid w:val="0"/>
              <w:ind w:firstLine="0" w:firstLineChars="0"/>
              <w:jc w:val="center"/>
              <w:rPr>
                <w:rFonts w:ascii="宋体" w:hAnsi="宋体" w:eastAsia="宋体" w:cs="宋体"/>
                <w:b/>
                <w:color w:val="000000"/>
                <w:sz w:val="15"/>
                <w:szCs w:val="15"/>
              </w:rPr>
            </w:pPr>
          </w:p>
        </w:tc>
        <w:tc>
          <w:tcPr>
            <w:tcW w:w="1729" w:type="dxa"/>
            <w:gridSpan w:val="3"/>
            <w:vAlign w:val="center"/>
          </w:tcPr>
          <w:p>
            <w:pPr>
              <w:widowControl/>
              <w:adjustRightInd w:val="0"/>
              <w:snapToGrid w:val="0"/>
              <w:ind w:firstLine="0" w:firstLineChars="0"/>
              <w:jc w:val="center"/>
              <w:rPr>
                <w:rFonts w:ascii="宋体" w:hAnsi="宋体" w:eastAsia="宋体" w:cs="宋体"/>
                <w:b/>
                <w:color w:val="000000"/>
                <w:spacing w:val="-11"/>
                <w:sz w:val="15"/>
                <w:szCs w:val="15"/>
              </w:rPr>
            </w:pPr>
            <w:r>
              <w:rPr>
                <w:rFonts w:hint="eastAsia" w:ascii="宋体" w:hAnsi="宋体" w:eastAsia="宋体" w:cs="宋体"/>
                <w:b/>
                <w:color w:val="000000"/>
                <w:spacing w:val="-11"/>
                <w:sz w:val="15"/>
                <w:szCs w:val="15"/>
              </w:rPr>
              <w:t>验收时间</w:t>
            </w:r>
          </w:p>
        </w:tc>
        <w:tc>
          <w:tcPr>
            <w:tcW w:w="1930" w:type="dxa"/>
            <w:gridSpan w:val="4"/>
            <w:vAlign w:val="center"/>
          </w:tcPr>
          <w:p>
            <w:pPr>
              <w:widowControl/>
              <w:adjustRightInd w:val="0"/>
              <w:snapToGrid w:val="0"/>
              <w:ind w:firstLine="0" w:firstLineChars="0"/>
              <w:jc w:val="center"/>
              <w:rPr>
                <w:rFonts w:hint="default" w:ascii="宋体" w:hAnsi="宋体" w:eastAsia="宋体" w:cs="宋体"/>
                <w:color w:val="000000"/>
                <w:spacing w:val="-11"/>
                <w:sz w:val="15"/>
                <w:szCs w:val="15"/>
                <w:lang w:val="en-US" w:eastAsia="zh-CN"/>
              </w:rPr>
            </w:pPr>
            <w:r>
              <w:rPr>
                <w:rFonts w:hint="eastAsia" w:ascii="宋体" w:hAnsi="宋体" w:eastAsia="宋体" w:cs="宋体"/>
                <w:color w:val="000000"/>
                <w:spacing w:val="-11"/>
                <w:sz w:val="15"/>
                <w:szCs w:val="15"/>
                <w:lang w:val="en-US" w:eastAsia="zh-CN"/>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750" w:type="dxa"/>
            <w:gridSpan w:val="2"/>
            <w:vMerge w:val="restart"/>
            <w:vAlign w:val="center"/>
          </w:tcPr>
          <w:p>
            <w:pPr>
              <w:widowControl/>
              <w:adjustRightInd w:val="0"/>
              <w:snapToGrid w:val="0"/>
              <w:ind w:firstLine="0" w:firstLineChars="0"/>
              <w:jc w:val="center"/>
              <w:rPr>
                <w:rFonts w:ascii="宋体" w:hAnsi="宋体" w:eastAsia="宋体" w:cs="宋体"/>
                <w:b/>
                <w:color w:val="000000"/>
                <w:spacing w:val="20"/>
                <w:sz w:val="15"/>
                <w:szCs w:val="15"/>
              </w:rPr>
            </w:pPr>
            <w:r>
              <w:rPr>
                <w:rFonts w:hint="eastAsia" w:ascii="宋体" w:hAnsi="宋体" w:eastAsia="宋体" w:cs="宋体"/>
                <w:b/>
                <w:color w:val="000000"/>
                <w:spacing w:val="20"/>
                <w:sz w:val="15"/>
                <w:szCs w:val="15"/>
              </w:rPr>
              <w:t>污染物排放达标与</w:t>
            </w:r>
          </w:p>
          <w:p>
            <w:pPr>
              <w:widowControl/>
              <w:adjustRightInd w:val="0"/>
              <w:snapToGrid w:val="0"/>
              <w:ind w:firstLine="0" w:firstLineChars="0"/>
              <w:jc w:val="center"/>
              <w:rPr>
                <w:rFonts w:ascii="宋体" w:hAnsi="宋体" w:eastAsia="宋体" w:cs="宋体"/>
                <w:b/>
                <w:color w:val="000000"/>
                <w:spacing w:val="20"/>
                <w:sz w:val="15"/>
                <w:szCs w:val="15"/>
              </w:rPr>
            </w:pPr>
            <w:r>
              <w:rPr>
                <w:rFonts w:hint="eastAsia" w:ascii="宋体" w:hAnsi="宋体" w:eastAsia="宋体" w:cs="宋体"/>
                <w:b/>
                <w:color w:val="000000"/>
                <w:spacing w:val="20"/>
                <w:sz w:val="15"/>
                <w:szCs w:val="15"/>
              </w:rPr>
              <w:t>总量</w:t>
            </w:r>
          </w:p>
          <w:p>
            <w:pPr>
              <w:widowControl/>
              <w:adjustRightInd w:val="0"/>
              <w:snapToGrid w:val="0"/>
              <w:ind w:firstLine="0" w:firstLineChars="0"/>
              <w:jc w:val="center"/>
              <w:rPr>
                <w:rFonts w:ascii="宋体" w:hAnsi="宋体" w:eastAsia="宋体" w:cs="宋体"/>
                <w:b/>
                <w:color w:val="000000"/>
                <w:spacing w:val="20"/>
                <w:sz w:val="15"/>
                <w:szCs w:val="15"/>
              </w:rPr>
            </w:pPr>
            <w:r>
              <w:rPr>
                <w:rFonts w:hint="eastAsia" w:ascii="宋体" w:hAnsi="宋体" w:eastAsia="宋体" w:cs="宋体"/>
                <w:b/>
                <w:color w:val="000000"/>
                <w:spacing w:val="20"/>
                <w:sz w:val="15"/>
                <w:szCs w:val="15"/>
              </w:rPr>
              <w:t>控制（工</w:t>
            </w:r>
          </w:p>
          <w:p>
            <w:pPr>
              <w:widowControl/>
              <w:adjustRightInd w:val="0"/>
              <w:snapToGrid w:val="0"/>
              <w:ind w:firstLine="0" w:firstLineChars="0"/>
              <w:jc w:val="center"/>
              <w:rPr>
                <w:rFonts w:ascii="宋体" w:hAnsi="宋体" w:eastAsia="宋体" w:cs="宋体"/>
                <w:b/>
                <w:color w:val="000000"/>
                <w:spacing w:val="20"/>
                <w:sz w:val="15"/>
                <w:szCs w:val="15"/>
              </w:rPr>
            </w:pPr>
            <w:r>
              <w:rPr>
                <w:rFonts w:hint="eastAsia" w:ascii="宋体" w:hAnsi="宋体" w:eastAsia="宋体" w:cs="宋体"/>
                <w:b/>
                <w:color w:val="000000"/>
                <w:spacing w:val="20"/>
                <w:sz w:val="15"/>
                <w:szCs w:val="15"/>
              </w:rPr>
              <w:t>业建设项</w:t>
            </w:r>
          </w:p>
          <w:p>
            <w:pPr>
              <w:widowControl/>
              <w:adjustRightInd w:val="0"/>
              <w:snapToGrid w:val="0"/>
              <w:ind w:firstLine="0" w:firstLineChars="0"/>
              <w:jc w:val="center"/>
              <w:rPr>
                <w:rFonts w:ascii="宋体" w:hAnsi="宋体" w:eastAsia="宋体" w:cs="宋体"/>
                <w:b/>
                <w:color w:val="000000"/>
                <w:spacing w:val="20"/>
                <w:sz w:val="15"/>
                <w:szCs w:val="15"/>
              </w:rPr>
            </w:pPr>
            <w:r>
              <w:rPr>
                <w:rFonts w:hint="eastAsia" w:ascii="宋体" w:hAnsi="宋体" w:eastAsia="宋体" w:cs="宋体"/>
                <w:b/>
                <w:color w:val="000000"/>
                <w:spacing w:val="20"/>
                <w:sz w:val="15"/>
                <w:szCs w:val="15"/>
              </w:rPr>
              <w:t>目详填）</w:t>
            </w:r>
          </w:p>
        </w:tc>
        <w:tc>
          <w:tcPr>
            <w:tcW w:w="138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污染物</w:t>
            </w:r>
          </w:p>
        </w:tc>
        <w:tc>
          <w:tcPr>
            <w:tcW w:w="833" w:type="dxa"/>
            <w:gridSpan w:val="2"/>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原有排</w:t>
            </w:r>
          </w:p>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放量(1)</w:t>
            </w:r>
          </w:p>
        </w:tc>
        <w:tc>
          <w:tcPr>
            <w:tcW w:w="1323" w:type="dxa"/>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本期工程实际排放浓度(2)</w:t>
            </w:r>
          </w:p>
        </w:tc>
        <w:tc>
          <w:tcPr>
            <w:tcW w:w="1171" w:type="dxa"/>
            <w:gridSpan w:val="2"/>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本期工程允许排放浓度(3)</w:t>
            </w:r>
          </w:p>
        </w:tc>
        <w:tc>
          <w:tcPr>
            <w:tcW w:w="999" w:type="dxa"/>
            <w:gridSpan w:val="2"/>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本期工程产生量(4)</w:t>
            </w:r>
          </w:p>
        </w:tc>
        <w:tc>
          <w:tcPr>
            <w:tcW w:w="1105"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本期工程自身削减量(5)</w:t>
            </w:r>
          </w:p>
        </w:tc>
        <w:tc>
          <w:tcPr>
            <w:tcW w:w="1145" w:type="dxa"/>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本期工程实际排放量(6)</w:t>
            </w:r>
          </w:p>
        </w:tc>
        <w:tc>
          <w:tcPr>
            <w:tcW w:w="1137" w:type="dxa"/>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本期工程核定排放总量(7)</w:t>
            </w:r>
          </w:p>
        </w:tc>
        <w:tc>
          <w:tcPr>
            <w:tcW w:w="1666" w:type="dxa"/>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本期工程“以新带老”削减量(8)</w:t>
            </w:r>
          </w:p>
        </w:tc>
        <w:tc>
          <w:tcPr>
            <w:tcW w:w="1055" w:type="dxa"/>
            <w:gridSpan w:val="3"/>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全厂实际排放总量(9)</w:t>
            </w:r>
          </w:p>
        </w:tc>
        <w:tc>
          <w:tcPr>
            <w:tcW w:w="1208" w:type="dxa"/>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全厂核定排放总量(10)</w:t>
            </w:r>
          </w:p>
        </w:tc>
        <w:tc>
          <w:tcPr>
            <w:tcW w:w="1001" w:type="dxa"/>
            <w:gridSpan w:val="2"/>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区域平衡替代削减量(11)</w:t>
            </w:r>
          </w:p>
        </w:tc>
        <w:tc>
          <w:tcPr>
            <w:tcW w:w="929" w:type="dxa"/>
            <w:gridSpan w:val="2"/>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750" w:type="dxa"/>
            <w:gridSpan w:val="2"/>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138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废水</w:t>
            </w:r>
          </w:p>
        </w:tc>
        <w:tc>
          <w:tcPr>
            <w:tcW w:w="833"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323"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17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ascii="宋体" w:hAnsi="宋体" w:eastAsia="宋体" w:cs="宋体"/>
                <w:color w:val="000000"/>
                <w:sz w:val="15"/>
                <w:szCs w:val="15"/>
              </w:rPr>
              <w:t>/</w:t>
            </w:r>
          </w:p>
        </w:tc>
        <w:tc>
          <w:tcPr>
            <w:tcW w:w="999" w:type="dxa"/>
            <w:gridSpan w:val="2"/>
            <w:vAlign w:val="center"/>
          </w:tcPr>
          <w:p>
            <w:pPr>
              <w:widowControl/>
              <w:adjustRightInd w:val="0"/>
              <w:snapToGrid w:val="0"/>
              <w:ind w:firstLine="0" w:firstLineChars="0"/>
              <w:jc w:val="center"/>
              <w:rPr>
                <w:rFonts w:hint="eastAsia" w:ascii="宋体" w:hAnsi="宋体" w:eastAsia="宋体" w:cs="宋体"/>
                <w:color w:val="000000"/>
                <w:sz w:val="15"/>
                <w:szCs w:val="15"/>
                <w:lang w:val="en-US" w:eastAsia="zh-CN"/>
              </w:rPr>
            </w:pPr>
            <w:r>
              <w:rPr>
                <w:rFonts w:hint="eastAsia" w:ascii="宋体" w:hAnsi="宋体" w:eastAsia="宋体" w:cs="宋体"/>
                <w:color w:val="000000"/>
                <w:sz w:val="15"/>
                <w:szCs w:val="15"/>
                <w:lang w:val="en-US" w:eastAsia="zh-CN"/>
              </w:rPr>
              <w:t>/</w:t>
            </w:r>
          </w:p>
        </w:tc>
        <w:tc>
          <w:tcPr>
            <w:tcW w:w="1105" w:type="dxa"/>
            <w:gridSpan w:val="3"/>
            <w:vAlign w:val="center"/>
          </w:tcPr>
          <w:p>
            <w:pPr>
              <w:widowControl/>
              <w:adjustRightInd w:val="0"/>
              <w:snapToGrid w:val="0"/>
              <w:ind w:firstLine="0" w:firstLineChars="0"/>
              <w:jc w:val="center"/>
              <w:rPr>
                <w:rFonts w:hint="eastAsia" w:ascii="宋体" w:hAnsi="宋体" w:eastAsia="宋体" w:cs="宋体"/>
                <w:color w:val="000000"/>
                <w:sz w:val="15"/>
                <w:szCs w:val="15"/>
                <w:lang w:val="en-US" w:eastAsia="zh-CN"/>
              </w:rPr>
            </w:pPr>
            <w:r>
              <w:rPr>
                <w:rFonts w:hint="eastAsia" w:ascii="宋体" w:hAnsi="宋体" w:eastAsia="宋体" w:cs="宋体"/>
                <w:color w:val="000000"/>
                <w:sz w:val="15"/>
                <w:szCs w:val="15"/>
                <w:lang w:val="en-US" w:eastAsia="zh-CN"/>
              </w:rPr>
              <w:t>/</w:t>
            </w:r>
          </w:p>
        </w:tc>
        <w:tc>
          <w:tcPr>
            <w:tcW w:w="1145" w:type="dxa"/>
            <w:vAlign w:val="center"/>
          </w:tcPr>
          <w:p>
            <w:pPr>
              <w:widowControl/>
              <w:adjustRightInd w:val="0"/>
              <w:snapToGrid w:val="0"/>
              <w:ind w:firstLine="0" w:firstLineChars="0"/>
              <w:jc w:val="center"/>
              <w:rPr>
                <w:rFonts w:hint="eastAsia" w:ascii="宋体" w:hAnsi="宋体" w:eastAsia="宋体" w:cs="宋体"/>
                <w:color w:val="000000"/>
                <w:sz w:val="15"/>
                <w:szCs w:val="15"/>
                <w:lang w:val="en-US" w:eastAsia="zh-CN"/>
              </w:rPr>
            </w:pPr>
            <w:r>
              <w:rPr>
                <w:rFonts w:hint="eastAsia" w:ascii="宋体" w:hAnsi="宋体" w:eastAsia="宋体" w:cs="宋体"/>
                <w:color w:val="000000"/>
                <w:sz w:val="15"/>
                <w:szCs w:val="15"/>
                <w:lang w:val="en-US" w:eastAsia="zh-CN"/>
              </w:rPr>
              <w:t>/</w:t>
            </w:r>
          </w:p>
        </w:tc>
        <w:tc>
          <w:tcPr>
            <w:tcW w:w="1137" w:type="dxa"/>
            <w:vAlign w:val="center"/>
          </w:tcPr>
          <w:p>
            <w:pPr>
              <w:widowControl/>
              <w:adjustRightInd w:val="0"/>
              <w:snapToGrid w:val="0"/>
              <w:ind w:firstLine="0" w:firstLineChars="0"/>
              <w:jc w:val="both"/>
              <w:rPr>
                <w:rFonts w:ascii="宋体" w:hAnsi="宋体" w:eastAsia="宋体" w:cs="宋体"/>
                <w:color w:val="000000"/>
                <w:sz w:val="15"/>
                <w:szCs w:val="15"/>
              </w:rPr>
            </w:pPr>
          </w:p>
        </w:tc>
        <w:tc>
          <w:tcPr>
            <w:tcW w:w="1666"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1055"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p>
        </w:tc>
        <w:tc>
          <w:tcPr>
            <w:tcW w:w="1208"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100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929"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50" w:type="dxa"/>
            <w:gridSpan w:val="2"/>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1381" w:type="dxa"/>
            <w:gridSpan w:val="2"/>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化学需氧量</w:t>
            </w:r>
          </w:p>
        </w:tc>
        <w:tc>
          <w:tcPr>
            <w:tcW w:w="833"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323"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17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p>
        </w:tc>
        <w:tc>
          <w:tcPr>
            <w:tcW w:w="999"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p>
        </w:tc>
        <w:tc>
          <w:tcPr>
            <w:tcW w:w="1105"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p>
        </w:tc>
        <w:tc>
          <w:tcPr>
            <w:tcW w:w="1145"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1137" w:type="dxa"/>
            <w:vAlign w:val="center"/>
          </w:tcPr>
          <w:p>
            <w:pPr>
              <w:widowControl/>
              <w:adjustRightInd w:val="0"/>
              <w:snapToGrid w:val="0"/>
              <w:ind w:firstLine="0" w:firstLineChars="0"/>
              <w:jc w:val="center"/>
              <w:rPr>
                <w:rFonts w:hint="eastAsia" w:ascii="宋体" w:hAnsi="宋体" w:eastAsia="宋体" w:cs="宋体"/>
                <w:color w:val="000000"/>
                <w:sz w:val="15"/>
                <w:szCs w:val="15"/>
                <w:lang w:val="en-US" w:eastAsia="zh-CN"/>
              </w:rPr>
            </w:pPr>
            <w:r>
              <w:rPr>
                <w:rFonts w:hint="eastAsia" w:ascii="宋体" w:hAnsi="宋体" w:eastAsia="宋体" w:cs="宋体"/>
                <w:color w:val="000000"/>
                <w:sz w:val="15"/>
                <w:szCs w:val="15"/>
                <w:lang w:val="en-US" w:eastAsia="zh-CN"/>
              </w:rPr>
              <w:t>/</w:t>
            </w:r>
          </w:p>
        </w:tc>
        <w:tc>
          <w:tcPr>
            <w:tcW w:w="1666"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1055"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p>
        </w:tc>
        <w:tc>
          <w:tcPr>
            <w:tcW w:w="1208"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100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929"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750" w:type="dxa"/>
            <w:gridSpan w:val="2"/>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1381" w:type="dxa"/>
            <w:gridSpan w:val="2"/>
            <w:vAlign w:val="center"/>
          </w:tcPr>
          <w:p>
            <w:pPr>
              <w:widowControl/>
              <w:adjustRightInd w:val="0"/>
              <w:snapToGrid w:val="0"/>
              <w:ind w:firstLine="0" w:firstLineChars="0"/>
              <w:jc w:val="center"/>
              <w:rPr>
                <w:rFonts w:ascii="宋体" w:hAnsi="宋体" w:eastAsia="宋体" w:cs="宋体"/>
                <w:b/>
                <w:color w:val="000000"/>
                <w:sz w:val="15"/>
                <w:szCs w:val="15"/>
              </w:rPr>
            </w:pPr>
            <w:r>
              <w:rPr>
                <w:rFonts w:hint="eastAsia" w:ascii="宋体" w:hAnsi="宋体" w:eastAsia="宋体" w:cs="宋体"/>
                <w:b/>
                <w:color w:val="000000"/>
                <w:sz w:val="15"/>
                <w:szCs w:val="15"/>
              </w:rPr>
              <w:t>氨氮</w:t>
            </w:r>
          </w:p>
        </w:tc>
        <w:tc>
          <w:tcPr>
            <w:tcW w:w="833"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323"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17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p>
        </w:tc>
        <w:tc>
          <w:tcPr>
            <w:tcW w:w="999"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p>
        </w:tc>
        <w:tc>
          <w:tcPr>
            <w:tcW w:w="1105"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p>
        </w:tc>
        <w:tc>
          <w:tcPr>
            <w:tcW w:w="1145"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1137" w:type="dxa"/>
            <w:vAlign w:val="center"/>
          </w:tcPr>
          <w:p>
            <w:pPr>
              <w:widowControl/>
              <w:adjustRightInd w:val="0"/>
              <w:snapToGrid w:val="0"/>
              <w:ind w:firstLine="0" w:firstLineChars="0"/>
              <w:jc w:val="center"/>
              <w:rPr>
                <w:rFonts w:hint="eastAsia" w:ascii="宋体" w:hAnsi="宋体" w:eastAsia="宋体" w:cs="宋体"/>
                <w:color w:val="000000"/>
                <w:sz w:val="15"/>
                <w:szCs w:val="15"/>
                <w:lang w:val="en-US" w:eastAsia="zh-CN"/>
              </w:rPr>
            </w:pPr>
            <w:r>
              <w:rPr>
                <w:rFonts w:hint="eastAsia" w:ascii="宋体" w:hAnsi="宋体" w:eastAsia="宋体" w:cs="宋体"/>
                <w:color w:val="000000"/>
                <w:sz w:val="15"/>
                <w:szCs w:val="15"/>
                <w:lang w:val="en-US" w:eastAsia="zh-CN"/>
              </w:rPr>
              <w:t>/</w:t>
            </w:r>
          </w:p>
        </w:tc>
        <w:tc>
          <w:tcPr>
            <w:tcW w:w="1666"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1055"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p>
        </w:tc>
        <w:tc>
          <w:tcPr>
            <w:tcW w:w="1208"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100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929"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750" w:type="dxa"/>
            <w:gridSpan w:val="2"/>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681" w:type="dxa"/>
            <w:vMerge w:val="restart"/>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b/>
                <w:color w:val="000000"/>
                <w:sz w:val="15"/>
                <w:szCs w:val="15"/>
              </w:rPr>
              <w:t>与项目有关的其他特征污染物</w:t>
            </w:r>
          </w:p>
        </w:tc>
        <w:tc>
          <w:tcPr>
            <w:tcW w:w="700"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粉尘</w:t>
            </w:r>
          </w:p>
        </w:tc>
        <w:tc>
          <w:tcPr>
            <w:tcW w:w="833"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323"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17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999"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105"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145"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1137" w:type="dxa"/>
            <w:vAlign w:val="center"/>
          </w:tcPr>
          <w:p>
            <w:pPr>
              <w:widowControl/>
              <w:adjustRightInd w:val="0"/>
              <w:snapToGrid w:val="0"/>
              <w:ind w:firstLine="0" w:firstLineChars="0"/>
              <w:jc w:val="center"/>
              <w:rPr>
                <w:rFonts w:hint="eastAsia" w:ascii="宋体" w:hAnsi="宋体" w:eastAsia="宋体" w:cs="宋体"/>
                <w:color w:val="000000"/>
                <w:sz w:val="15"/>
                <w:szCs w:val="15"/>
                <w:lang w:val="en-US" w:eastAsia="zh-CN"/>
              </w:rPr>
            </w:pPr>
            <w:r>
              <w:rPr>
                <w:rFonts w:hint="eastAsia" w:ascii="宋体" w:hAnsi="宋体" w:eastAsia="宋体" w:cs="宋体"/>
                <w:color w:val="000000"/>
                <w:sz w:val="15"/>
                <w:szCs w:val="15"/>
                <w:lang w:val="en-US" w:eastAsia="zh-CN"/>
              </w:rPr>
              <w:t>/</w:t>
            </w:r>
          </w:p>
        </w:tc>
        <w:tc>
          <w:tcPr>
            <w:tcW w:w="1666"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055"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208"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00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929"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750" w:type="dxa"/>
            <w:gridSpan w:val="2"/>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681" w:type="dxa"/>
            <w:vMerge w:val="continue"/>
            <w:vAlign w:val="center"/>
          </w:tcPr>
          <w:p>
            <w:pPr>
              <w:widowControl/>
              <w:adjustRightInd w:val="0"/>
              <w:snapToGrid w:val="0"/>
              <w:ind w:firstLine="0" w:firstLineChars="0"/>
              <w:jc w:val="center"/>
              <w:rPr>
                <w:rFonts w:ascii="宋体" w:hAnsi="宋体" w:eastAsia="宋体" w:cs="宋体"/>
                <w:b/>
                <w:color w:val="000000"/>
                <w:sz w:val="15"/>
                <w:szCs w:val="15"/>
              </w:rPr>
            </w:pPr>
          </w:p>
        </w:tc>
        <w:tc>
          <w:tcPr>
            <w:tcW w:w="700"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V</w:t>
            </w:r>
            <w:r>
              <w:rPr>
                <w:rFonts w:ascii="宋体" w:hAnsi="宋体" w:eastAsia="宋体" w:cs="宋体"/>
                <w:color w:val="000000"/>
                <w:sz w:val="15"/>
                <w:szCs w:val="15"/>
              </w:rPr>
              <w:t>OCs</w:t>
            </w:r>
          </w:p>
        </w:tc>
        <w:tc>
          <w:tcPr>
            <w:tcW w:w="833"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323"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17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999"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105"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145"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1137" w:type="dxa"/>
            <w:vAlign w:val="center"/>
          </w:tcPr>
          <w:p>
            <w:pPr>
              <w:widowControl/>
              <w:adjustRightInd w:val="0"/>
              <w:snapToGrid w:val="0"/>
              <w:ind w:firstLine="0" w:firstLineChars="0"/>
              <w:jc w:val="center"/>
              <w:rPr>
                <w:rFonts w:ascii="宋体" w:hAnsi="宋体" w:eastAsia="宋体" w:cs="宋体"/>
                <w:color w:val="000000"/>
                <w:sz w:val="15"/>
                <w:szCs w:val="15"/>
              </w:rPr>
            </w:pPr>
          </w:p>
        </w:tc>
        <w:tc>
          <w:tcPr>
            <w:tcW w:w="1666"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055"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208"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00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929"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750" w:type="dxa"/>
            <w:gridSpan w:val="2"/>
            <w:vMerge w:val="continue"/>
            <w:vAlign w:val="center"/>
          </w:tcPr>
          <w:p>
            <w:pPr>
              <w:widowControl/>
              <w:adjustRightInd w:val="0"/>
              <w:snapToGrid w:val="0"/>
              <w:ind w:firstLine="0" w:firstLineChars="0"/>
              <w:jc w:val="center"/>
              <w:rPr>
                <w:rFonts w:ascii="宋体" w:hAnsi="宋体" w:eastAsia="宋体" w:cs="宋体"/>
                <w:color w:val="000000"/>
                <w:sz w:val="15"/>
                <w:szCs w:val="15"/>
              </w:rPr>
            </w:pPr>
          </w:p>
        </w:tc>
        <w:tc>
          <w:tcPr>
            <w:tcW w:w="681" w:type="dxa"/>
            <w:vMerge w:val="continue"/>
            <w:vAlign w:val="center"/>
          </w:tcPr>
          <w:p>
            <w:pPr>
              <w:widowControl/>
              <w:adjustRightInd w:val="0"/>
              <w:snapToGrid w:val="0"/>
              <w:ind w:firstLine="0" w:firstLineChars="0"/>
              <w:jc w:val="center"/>
              <w:rPr>
                <w:rFonts w:ascii="宋体" w:hAnsi="宋体" w:eastAsia="宋体" w:cs="宋体"/>
                <w:b/>
                <w:color w:val="000000"/>
                <w:sz w:val="15"/>
                <w:szCs w:val="15"/>
              </w:rPr>
            </w:pPr>
          </w:p>
        </w:tc>
        <w:tc>
          <w:tcPr>
            <w:tcW w:w="700"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833"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323"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17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999"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105"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145"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137"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666"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055" w:type="dxa"/>
            <w:gridSpan w:val="3"/>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208" w:type="dxa"/>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1001"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c>
          <w:tcPr>
            <w:tcW w:w="929" w:type="dxa"/>
            <w:gridSpan w:val="2"/>
            <w:vAlign w:val="center"/>
          </w:tcPr>
          <w:p>
            <w:pPr>
              <w:widowControl/>
              <w:adjustRightInd w:val="0"/>
              <w:snapToGrid w:val="0"/>
              <w:ind w:firstLine="0" w:firstLineChars="0"/>
              <w:jc w:val="center"/>
              <w:rPr>
                <w:rFonts w:ascii="宋体" w:hAnsi="宋体" w:eastAsia="宋体" w:cs="宋体"/>
                <w:color w:val="000000"/>
                <w:sz w:val="15"/>
                <w:szCs w:val="15"/>
              </w:rPr>
            </w:pPr>
            <w:r>
              <w:rPr>
                <w:rFonts w:hint="eastAsia" w:ascii="宋体" w:hAnsi="宋体" w:eastAsia="宋体" w:cs="宋体"/>
                <w:color w:val="000000"/>
                <w:sz w:val="15"/>
                <w:szCs w:val="15"/>
              </w:rPr>
              <w:t>/</w:t>
            </w:r>
          </w:p>
        </w:tc>
      </w:tr>
    </w:tbl>
    <w:p>
      <w:pPr>
        <w:spacing w:line="240" w:lineRule="auto"/>
        <w:ind w:firstLine="0" w:firstLineChars="0"/>
        <w:rPr>
          <w:rFonts w:ascii="宋体" w:hAnsi="宋体" w:eastAsia="宋体" w:cs="宋体"/>
          <w:kern w:val="0"/>
          <w:sz w:val="15"/>
          <w:szCs w:val="15"/>
        </w:rPr>
      </w:pPr>
      <w:r>
        <w:rPr>
          <w:rFonts w:hint="eastAsia" w:ascii="宋体" w:hAnsi="宋体" w:eastAsia="宋体" w:cs="宋体"/>
          <w:b/>
          <w:kern w:val="0"/>
          <w:sz w:val="15"/>
          <w:szCs w:val="15"/>
        </w:rPr>
        <w:t>注</w:t>
      </w:r>
      <w:r>
        <w:rPr>
          <w:rFonts w:hint="eastAsia" w:ascii="宋体" w:hAnsi="宋体" w:eastAsia="宋体" w:cs="宋体"/>
          <w:kern w:val="0"/>
          <w:sz w:val="15"/>
          <w:szCs w:val="15"/>
        </w:rPr>
        <w:t>： 1、排放增减量：(+)表示增加，(—)表示减少。2、(12)=(6)-(8)-(11)，(9)=(4)-(5)-(8)-(11)+(1)3、计量单位：废水排放量-万吨/年；废气排放量-万标米3/年；工业固体废物排放量-万吨/年；水污染物排放浓度-毫克/升；大气污染物排放浓度-毫克/立方米；水污染物排放量：吨/年；大气污染物排放量—吨/年。</w:t>
      </w:r>
    </w:p>
    <w:p>
      <w:pPr>
        <w:spacing w:line="240" w:lineRule="auto"/>
        <w:ind w:firstLine="0" w:firstLineChars="0"/>
        <w:rPr>
          <w:rFonts w:ascii="宋体" w:hAnsi="宋体" w:eastAsia="宋体" w:cs="宋体"/>
        </w:rPr>
        <w:sectPr>
          <w:pgSz w:w="16838" w:h="11906" w:orient="landscape"/>
          <w:pgMar w:top="1563" w:right="1440" w:bottom="1803" w:left="1440" w:header="1247" w:footer="1474" w:gutter="0"/>
          <w:pgNumType w:fmt="decimal"/>
          <w:cols w:space="720" w:num="1"/>
          <w:docGrid w:type="lines" w:linePitch="332" w:charSpace="0"/>
        </w:sectPr>
      </w:pPr>
    </w:p>
    <w:p>
      <w:pPr>
        <w:pStyle w:val="2"/>
        <w:rPr>
          <w:sz w:val="28"/>
          <w:szCs w:val="28"/>
        </w:rPr>
      </w:pPr>
      <w:bookmarkStart w:id="211" w:name="_Toc18168"/>
      <w:bookmarkStart w:id="212" w:name="_Toc867"/>
      <w:bookmarkStart w:id="213" w:name="_Toc23549"/>
      <w:r>
        <w:rPr>
          <w:rFonts w:hint="eastAsia" w:ascii="宋体" w:hAnsi="宋体" w:cs="宋体"/>
          <w:sz w:val="28"/>
          <w:szCs w:val="28"/>
        </w:rPr>
        <w:t>附件一、环评批复文件</w:t>
      </w:r>
      <w:bookmarkEnd w:id="211"/>
      <w:bookmarkEnd w:id="212"/>
      <w:bookmarkEnd w:id="213"/>
    </w:p>
    <w:p>
      <w:pPr>
        <w:keepNext/>
        <w:keepLines/>
        <w:spacing w:line="240" w:lineRule="auto"/>
        <w:ind w:firstLine="0" w:firstLineChars="0"/>
        <w:jc w:val="left"/>
        <w:outlineLvl w:val="9"/>
        <w:rPr>
          <w:rFonts w:hint="eastAsia" w:ascii="宋体" w:hAnsi="宋体" w:eastAsia="宋体" w:cs="宋体"/>
          <w:b/>
          <w:bCs/>
          <w:kern w:val="44"/>
          <w:sz w:val="30"/>
          <w:szCs w:val="30"/>
          <w:lang w:eastAsia="zh-CN"/>
        </w:rPr>
      </w:pPr>
      <w:bookmarkStart w:id="214" w:name="_Toc32134"/>
      <w:bookmarkStart w:id="215" w:name="_Toc25910"/>
    </w:p>
    <w:p>
      <w:pPr>
        <w:keepNext/>
        <w:keepLines/>
        <w:spacing w:line="240" w:lineRule="auto"/>
        <w:ind w:firstLine="0" w:firstLineChars="0"/>
        <w:jc w:val="left"/>
        <w:outlineLvl w:val="9"/>
        <w:rPr>
          <w:rFonts w:hint="eastAsia" w:ascii="宋体" w:hAnsi="宋体" w:eastAsia="宋体" w:cs="宋体"/>
          <w:b/>
          <w:bCs/>
          <w:kern w:val="44"/>
          <w:sz w:val="30"/>
          <w:szCs w:val="30"/>
        </w:rPr>
      </w:pPr>
      <w:r>
        <w:rPr>
          <w:rFonts w:hint="eastAsia" w:ascii="宋体" w:hAnsi="宋体" w:eastAsia="宋体" w:cs="宋体"/>
          <w:b/>
          <w:bCs/>
          <w:kern w:val="44"/>
          <w:sz w:val="30"/>
          <w:szCs w:val="30"/>
          <w:lang w:eastAsia="zh-CN"/>
        </w:rPr>
        <w:drawing>
          <wp:anchor distT="0" distB="0" distL="114300" distR="114300" simplePos="0" relativeHeight="251662336" behindDoc="0" locked="0" layoutInCell="1" allowOverlap="1">
            <wp:simplePos x="0" y="0"/>
            <wp:positionH relativeFrom="column">
              <wp:posOffset>0</wp:posOffset>
            </wp:positionH>
            <wp:positionV relativeFrom="paragraph">
              <wp:posOffset>190500</wp:posOffset>
            </wp:positionV>
            <wp:extent cx="5229225" cy="6943725"/>
            <wp:effectExtent l="0" t="0" r="9525" b="9525"/>
            <wp:wrapNone/>
            <wp:docPr id="16" name="图片 16" descr="微信截图_2023081708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截图_20230817083925"/>
                    <pic:cNvPicPr>
                      <a:picLocks noChangeAspect="1"/>
                    </pic:cNvPicPr>
                  </pic:nvPicPr>
                  <pic:blipFill>
                    <a:blip r:embed="rId22"/>
                    <a:stretch>
                      <a:fillRect/>
                    </a:stretch>
                  </pic:blipFill>
                  <pic:spPr>
                    <a:xfrm>
                      <a:off x="0" y="0"/>
                      <a:ext cx="5229225" cy="6943725"/>
                    </a:xfrm>
                    <a:prstGeom prst="rect">
                      <a:avLst/>
                    </a:prstGeom>
                  </pic:spPr>
                </pic:pic>
              </a:graphicData>
            </a:graphic>
          </wp:anchor>
        </w:drawing>
      </w: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r>
        <w:rPr>
          <w:rFonts w:hint="eastAsia" w:ascii="宋体" w:hAnsi="宋体" w:eastAsia="宋体" w:cs="宋体"/>
          <w:b/>
          <w:bCs/>
          <w:kern w:val="44"/>
          <w:sz w:val="30"/>
          <w:szCs w:val="30"/>
          <w:lang w:eastAsia="zh-CN"/>
        </w:rPr>
        <w:drawing>
          <wp:anchor distT="0" distB="0" distL="114300" distR="114300" simplePos="0" relativeHeight="251663360" behindDoc="0" locked="0" layoutInCell="1" allowOverlap="1">
            <wp:simplePos x="0" y="0"/>
            <wp:positionH relativeFrom="column">
              <wp:posOffset>142875</wp:posOffset>
            </wp:positionH>
            <wp:positionV relativeFrom="paragraph">
              <wp:posOffset>360045</wp:posOffset>
            </wp:positionV>
            <wp:extent cx="4791075" cy="7162800"/>
            <wp:effectExtent l="0" t="0" r="9525" b="0"/>
            <wp:wrapNone/>
            <wp:docPr id="17" name="图片 17" descr="微信截图_2023081708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截图_20230817083951"/>
                    <pic:cNvPicPr>
                      <a:picLocks noChangeAspect="1"/>
                    </pic:cNvPicPr>
                  </pic:nvPicPr>
                  <pic:blipFill>
                    <a:blip r:embed="rId23"/>
                    <a:stretch>
                      <a:fillRect/>
                    </a:stretch>
                  </pic:blipFill>
                  <pic:spPr>
                    <a:xfrm>
                      <a:off x="0" y="0"/>
                      <a:ext cx="4791075" cy="7162800"/>
                    </a:xfrm>
                    <a:prstGeom prst="rect">
                      <a:avLst/>
                    </a:prstGeom>
                  </pic:spPr>
                </pic:pic>
              </a:graphicData>
            </a:graphic>
          </wp:anchor>
        </w:drawing>
      </w:r>
    </w:p>
    <w:p>
      <w:pPr>
        <w:pStyle w:val="28"/>
        <w:rPr>
          <w:rFonts w:hint="eastAsia" w:ascii="宋体" w:hAnsi="宋体" w:eastAsia="宋体" w:cs="宋体"/>
          <w:b/>
          <w:bCs/>
          <w:kern w:val="44"/>
          <w:sz w:val="30"/>
          <w:szCs w:val="30"/>
          <w:lang w:eastAsia="zh-CN"/>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lang w:eastAsia="zh-CN"/>
        </w:rPr>
      </w:pPr>
      <w:r>
        <w:rPr>
          <w:rFonts w:hint="eastAsia" w:ascii="宋体" w:hAnsi="宋体" w:eastAsia="宋体" w:cs="宋体"/>
          <w:b/>
          <w:bCs/>
          <w:kern w:val="44"/>
          <w:sz w:val="30"/>
          <w:szCs w:val="30"/>
          <w:lang w:eastAsia="zh-CN"/>
        </w:rPr>
        <w:drawing>
          <wp:anchor distT="0" distB="0" distL="114300" distR="114300" simplePos="0" relativeHeight="251664384" behindDoc="0" locked="0" layoutInCell="1" allowOverlap="1">
            <wp:simplePos x="0" y="0"/>
            <wp:positionH relativeFrom="column">
              <wp:posOffset>123825</wp:posOffset>
            </wp:positionH>
            <wp:positionV relativeFrom="paragraph">
              <wp:posOffset>241300</wp:posOffset>
            </wp:positionV>
            <wp:extent cx="5029200" cy="7210425"/>
            <wp:effectExtent l="0" t="0" r="0" b="9525"/>
            <wp:wrapNone/>
            <wp:docPr id="18" name="图片 18" descr="微信截图_2023081708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截图_20230817084006"/>
                    <pic:cNvPicPr>
                      <a:picLocks noChangeAspect="1"/>
                    </pic:cNvPicPr>
                  </pic:nvPicPr>
                  <pic:blipFill>
                    <a:blip r:embed="rId24"/>
                    <a:stretch>
                      <a:fillRect/>
                    </a:stretch>
                  </pic:blipFill>
                  <pic:spPr>
                    <a:xfrm>
                      <a:off x="0" y="0"/>
                      <a:ext cx="5029200" cy="7210425"/>
                    </a:xfrm>
                    <a:prstGeom prst="rect">
                      <a:avLst/>
                    </a:prstGeom>
                  </pic:spPr>
                </pic:pic>
              </a:graphicData>
            </a:graphic>
          </wp:anchor>
        </w:drawing>
      </w: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lang w:eastAsia="zh-CN"/>
        </w:rPr>
      </w:pPr>
      <w:r>
        <w:rPr>
          <w:rFonts w:hint="eastAsia" w:ascii="宋体" w:hAnsi="宋体" w:eastAsia="宋体" w:cs="宋体"/>
          <w:b/>
          <w:bCs/>
          <w:kern w:val="44"/>
          <w:sz w:val="30"/>
          <w:szCs w:val="30"/>
          <w:lang w:eastAsia="zh-CN"/>
        </w:rPr>
        <w:drawing>
          <wp:anchor distT="0" distB="0" distL="114300" distR="114300" simplePos="0" relativeHeight="251665408" behindDoc="0" locked="0" layoutInCell="1" allowOverlap="1">
            <wp:simplePos x="0" y="0"/>
            <wp:positionH relativeFrom="column">
              <wp:posOffset>219075</wp:posOffset>
            </wp:positionH>
            <wp:positionV relativeFrom="paragraph">
              <wp:posOffset>22225</wp:posOffset>
            </wp:positionV>
            <wp:extent cx="4876800" cy="7200900"/>
            <wp:effectExtent l="0" t="0" r="0" b="0"/>
            <wp:wrapNone/>
            <wp:docPr id="19" name="图片 19" descr="微信截图_2023081708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截图_20230817084030"/>
                    <pic:cNvPicPr>
                      <a:picLocks noChangeAspect="1"/>
                    </pic:cNvPicPr>
                  </pic:nvPicPr>
                  <pic:blipFill>
                    <a:blip r:embed="rId25"/>
                    <a:stretch>
                      <a:fillRect/>
                    </a:stretch>
                  </pic:blipFill>
                  <pic:spPr>
                    <a:xfrm>
                      <a:off x="0" y="0"/>
                      <a:ext cx="4876800" cy="7200900"/>
                    </a:xfrm>
                    <a:prstGeom prst="rect">
                      <a:avLst/>
                    </a:prstGeom>
                  </pic:spPr>
                </pic:pic>
              </a:graphicData>
            </a:graphic>
          </wp:anchor>
        </w:drawing>
      </w: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bidi w:val="0"/>
        <w:rPr>
          <w:rFonts w:hint="eastAsia"/>
        </w:rPr>
      </w:pPr>
    </w:p>
    <w:p>
      <w:pPr>
        <w:bidi w:val="0"/>
        <w:rPr>
          <w:rFonts w:hint="eastAsia"/>
        </w:rPr>
      </w:pPr>
    </w:p>
    <w:p>
      <w:pPr>
        <w:bidi w:val="0"/>
        <w:rPr>
          <w:rFonts w:hint="eastAsia"/>
        </w:rPr>
      </w:pPr>
    </w:p>
    <w:p>
      <w:pPr>
        <w:tabs>
          <w:tab w:val="left" w:pos="2323"/>
        </w:tabs>
        <w:bidi w:val="0"/>
        <w:jc w:val="left"/>
        <w:rPr>
          <w:rFonts w:hint="eastAsia" w:ascii="宋体" w:hAnsi="宋体" w:eastAsia="宋体" w:cs="宋体"/>
          <w:b/>
          <w:bCs/>
          <w:kern w:val="44"/>
          <w:sz w:val="30"/>
          <w:szCs w:val="30"/>
        </w:rPr>
      </w:pPr>
      <w:r>
        <w:rPr>
          <w:rFonts w:hint="eastAsia"/>
          <w:lang w:eastAsia="zh-CN"/>
        </w:rPr>
        <w:tab/>
      </w:r>
    </w:p>
    <w:p>
      <w:pPr>
        <w:keepNext/>
        <w:keepLines/>
        <w:spacing w:line="240" w:lineRule="auto"/>
        <w:ind w:firstLine="0" w:firstLineChars="0"/>
        <w:jc w:val="left"/>
        <w:outlineLvl w:val="0"/>
        <w:rPr>
          <w:rFonts w:hint="default" w:ascii="宋体" w:hAnsi="宋体" w:eastAsia="宋体" w:cs="宋体"/>
          <w:b/>
          <w:bCs/>
          <w:kern w:val="44"/>
          <w:sz w:val="28"/>
          <w:szCs w:val="28"/>
          <w:lang w:val="en-US" w:eastAsia="zh-CN"/>
        </w:rPr>
      </w:pPr>
      <w:bookmarkStart w:id="216" w:name="_Toc17337"/>
      <w:r>
        <w:rPr>
          <w:rFonts w:hint="eastAsia" w:ascii="宋体" w:hAnsi="宋体" w:eastAsia="宋体" w:cs="宋体"/>
          <w:b/>
          <w:bCs/>
          <w:kern w:val="44"/>
          <w:sz w:val="28"/>
          <w:szCs w:val="28"/>
        </w:rPr>
        <w:t>附件</w:t>
      </w:r>
      <w:r>
        <w:rPr>
          <w:rFonts w:hint="eastAsia" w:ascii="宋体" w:hAnsi="宋体" w:eastAsia="宋体" w:cs="宋体"/>
          <w:b/>
          <w:bCs/>
          <w:kern w:val="44"/>
          <w:sz w:val="28"/>
          <w:szCs w:val="28"/>
          <w:lang w:val="en-US" w:eastAsia="zh-CN"/>
        </w:rPr>
        <w:t>二</w:t>
      </w:r>
      <w:r>
        <w:rPr>
          <w:rFonts w:hint="eastAsia" w:ascii="宋体" w:hAnsi="宋体" w:eastAsia="宋体" w:cs="宋体"/>
          <w:b/>
          <w:bCs/>
          <w:kern w:val="44"/>
          <w:sz w:val="28"/>
          <w:szCs w:val="28"/>
        </w:rPr>
        <w:t>、</w:t>
      </w:r>
      <w:r>
        <w:rPr>
          <w:rFonts w:hint="eastAsia" w:ascii="宋体" w:hAnsi="宋体" w:eastAsia="宋体" w:cs="宋体"/>
          <w:b/>
          <w:bCs/>
          <w:kern w:val="44"/>
          <w:sz w:val="28"/>
          <w:szCs w:val="28"/>
          <w:lang w:val="en-US" w:eastAsia="zh-CN"/>
        </w:rPr>
        <w:t>排污许可证</w:t>
      </w:r>
      <w:bookmarkEnd w:id="216"/>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lang w:eastAsia="zh-CN"/>
        </w:rPr>
      </w:pPr>
      <w:r>
        <w:rPr>
          <w:rFonts w:hint="eastAsia" w:ascii="宋体" w:hAnsi="宋体" w:eastAsia="宋体" w:cs="宋体"/>
          <w:b/>
          <w:bCs/>
          <w:kern w:val="44"/>
          <w:sz w:val="30"/>
          <w:szCs w:val="30"/>
          <w:lang w:eastAsia="zh-CN"/>
        </w:rPr>
        <w:drawing>
          <wp:anchor distT="0" distB="0" distL="114300" distR="114300" simplePos="0" relativeHeight="251683840" behindDoc="0" locked="0" layoutInCell="1" allowOverlap="1">
            <wp:simplePos x="0" y="0"/>
            <wp:positionH relativeFrom="column">
              <wp:posOffset>438150</wp:posOffset>
            </wp:positionH>
            <wp:positionV relativeFrom="paragraph">
              <wp:posOffset>181610</wp:posOffset>
            </wp:positionV>
            <wp:extent cx="4362450" cy="2781300"/>
            <wp:effectExtent l="0" t="0" r="0" b="0"/>
            <wp:wrapNone/>
            <wp:docPr id="3" name="图片 3" descr="微信截图_2023103111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截图_20231031111738"/>
                    <pic:cNvPicPr>
                      <a:picLocks noChangeAspect="1"/>
                    </pic:cNvPicPr>
                  </pic:nvPicPr>
                  <pic:blipFill>
                    <a:blip r:embed="rId26"/>
                    <a:stretch>
                      <a:fillRect/>
                    </a:stretch>
                  </pic:blipFill>
                  <pic:spPr>
                    <a:xfrm>
                      <a:off x="0" y="0"/>
                      <a:ext cx="4362450" cy="2781300"/>
                    </a:xfrm>
                    <a:prstGeom prst="rect">
                      <a:avLst/>
                    </a:prstGeom>
                  </pic:spPr>
                </pic:pic>
              </a:graphicData>
            </a:graphic>
          </wp:anchor>
        </w:drawing>
      </w: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lang w:eastAsia="zh-CN"/>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keepNext/>
        <w:keepLines/>
        <w:spacing w:line="240" w:lineRule="auto"/>
        <w:ind w:firstLine="0" w:firstLineChars="0"/>
        <w:jc w:val="left"/>
        <w:outlineLvl w:val="9"/>
        <w:rPr>
          <w:rFonts w:hint="eastAsia" w:ascii="宋体" w:hAnsi="宋体" w:eastAsia="宋体" w:cs="宋体"/>
          <w:b/>
          <w:bCs/>
          <w:kern w:val="44"/>
          <w:sz w:val="30"/>
          <w:szCs w:val="30"/>
          <w:lang w:eastAsia="zh-CN"/>
        </w:rPr>
      </w:pPr>
    </w:p>
    <w:p>
      <w:pPr>
        <w:keepNext/>
        <w:keepLines/>
        <w:spacing w:line="240" w:lineRule="auto"/>
        <w:ind w:firstLine="0" w:firstLineChars="0"/>
        <w:jc w:val="left"/>
        <w:outlineLvl w:val="9"/>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lang w:eastAsia="zh-CN"/>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rPr>
          <w:rFonts w:hint="eastAsia" w:ascii="宋体" w:hAnsi="宋体" w:eastAsia="宋体" w:cs="宋体"/>
          <w:b/>
          <w:bCs/>
          <w:kern w:val="44"/>
          <w:sz w:val="30"/>
          <w:szCs w:val="30"/>
        </w:rPr>
      </w:pPr>
    </w:p>
    <w:p>
      <w:pPr>
        <w:pStyle w:val="28"/>
        <w:ind w:left="0" w:leftChars="0" w:firstLine="0" w:firstLineChars="0"/>
        <w:rPr>
          <w:rFonts w:hint="eastAsia" w:ascii="宋体" w:hAnsi="宋体" w:eastAsia="宋体" w:cs="宋体"/>
          <w:b/>
          <w:bCs/>
          <w:kern w:val="44"/>
          <w:sz w:val="30"/>
          <w:szCs w:val="30"/>
        </w:rPr>
      </w:pPr>
    </w:p>
    <w:p>
      <w:pPr>
        <w:keepNext/>
        <w:keepLines/>
        <w:spacing w:line="240" w:lineRule="auto"/>
        <w:ind w:firstLine="0" w:firstLineChars="0"/>
        <w:jc w:val="left"/>
        <w:outlineLvl w:val="0"/>
        <w:rPr>
          <w:rFonts w:hint="eastAsia" w:ascii="宋体" w:hAnsi="宋体" w:eastAsia="宋体" w:cs="宋体"/>
          <w:b/>
          <w:bCs/>
          <w:kern w:val="44"/>
          <w:sz w:val="28"/>
          <w:szCs w:val="28"/>
          <w:lang w:val="en-US" w:eastAsia="zh-CN"/>
        </w:rPr>
      </w:pPr>
      <w:bookmarkStart w:id="217" w:name="_Toc17081"/>
      <w:r>
        <w:rPr>
          <w:rFonts w:hint="eastAsia" w:ascii="宋体" w:hAnsi="宋体" w:eastAsia="宋体" w:cs="宋体"/>
          <w:b/>
          <w:bCs/>
          <w:kern w:val="44"/>
          <w:sz w:val="28"/>
          <w:szCs w:val="28"/>
        </w:rPr>
        <w:t>附件</w:t>
      </w:r>
      <w:r>
        <w:rPr>
          <w:rFonts w:hint="eastAsia" w:ascii="宋体" w:hAnsi="宋体" w:eastAsia="宋体" w:cs="宋体"/>
          <w:b/>
          <w:bCs/>
          <w:kern w:val="44"/>
          <w:sz w:val="28"/>
          <w:szCs w:val="28"/>
          <w:lang w:val="en-US" w:eastAsia="zh-CN"/>
        </w:rPr>
        <w:t>三</w:t>
      </w:r>
      <w:r>
        <w:rPr>
          <w:rFonts w:hint="eastAsia" w:ascii="宋体" w:hAnsi="宋体" w:eastAsia="宋体" w:cs="宋体"/>
          <w:b/>
          <w:bCs/>
          <w:kern w:val="44"/>
          <w:sz w:val="28"/>
          <w:szCs w:val="28"/>
        </w:rPr>
        <w:t>、</w:t>
      </w:r>
      <w:r>
        <w:rPr>
          <w:rFonts w:hint="eastAsia" w:ascii="宋体" w:hAnsi="宋体" w:eastAsia="宋体" w:cs="宋体"/>
          <w:b/>
          <w:bCs/>
          <w:kern w:val="44"/>
          <w:sz w:val="28"/>
          <w:szCs w:val="28"/>
          <w:lang w:val="en-US" w:eastAsia="zh-CN"/>
        </w:rPr>
        <w:t>委托处置协议</w:t>
      </w:r>
      <w:bookmarkEnd w:id="217"/>
    </w:p>
    <w:p>
      <w:pPr>
        <w:pStyle w:val="28"/>
        <w:rPr>
          <w:rFonts w:hint="eastAsia" w:ascii="宋体" w:hAnsi="宋体" w:eastAsia="宋体" w:cs="宋体"/>
          <w:b/>
          <w:bCs/>
          <w:kern w:val="44"/>
          <w:sz w:val="30"/>
          <w:szCs w:val="30"/>
          <w:lang w:val="en-US" w:eastAsia="zh-CN"/>
        </w:rPr>
      </w:pPr>
      <w:r>
        <w:rPr>
          <w:rFonts w:hint="eastAsia" w:ascii="宋体" w:hAnsi="宋体" w:eastAsia="宋体" w:cs="宋体"/>
          <w:b/>
          <w:bCs/>
          <w:kern w:val="44"/>
          <w:sz w:val="30"/>
          <w:szCs w:val="30"/>
          <w:lang w:val="en-US" w:eastAsia="zh-CN"/>
        </w:rPr>
        <w:drawing>
          <wp:anchor distT="0" distB="0" distL="114300" distR="114300" simplePos="0" relativeHeight="251666432" behindDoc="0" locked="0" layoutInCell="1" allowOverlap="1">
            <wp:simplePos x="0" y="0"/>
            <wp:positionH relativeFrom="column">
              <wp:posOffset>171450</wp:posOffset>
            </wp:positionH>
            <wp:positionV relativeFrom="paragraph">
              <wp:posOffset>83820</wp:posOffset>
            </wp:positionV>
            <wp:extent cx="4979035" cy="7974965"/>
            <wp:effectExtent l="0" t="0" r="12065" b="6985"/>
            <wp:wrapNone/>
            <wp:docPr id="20" name="图片 20" descr="05dc1c8c59b3af913721e84d96f1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5dc1c8c59b3af913721e84d96f1a18"/>
                    <pic:cNvPicPr>
                      <a:picLocks noChangeAspect="1"/>
                    </pic:cNvPicPr>
                  </pic:nvPicPr>
                  <pic:blipFill>
                    <a:blip r:embed="rId27"/>
                    <a:stretch>
                      <a:fillRect/>
                    </a:stretch>
                  </pic:blipFill>
                  <pic:spPr>
                    <a:xfrm>
                      <a:off x="0" y="0"/>
                      <a:ext cx="4979035" cy="7974965"/>
                    </a:xfrm>
                    <a:prstGeom prst="rect">
                      <a:avLst/>
                    </a:prstGeom>
                  </pic:spPr>
                </pic:pic>
              </a:graphicData>
            </a:graphic>
          </wp:anchor>
        </w:drawing>
      </w: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default" w:ascii="宋体" w:hAnsi="宋体" w:eastAsia="宋体" w:cs="宋体"/>
          <w:b/>
          <w:bCs/>
          <w:kern w:val="44"/>
          <w:sz w:val="30"/>
          <w:szCs w:val="30"/>
          <w:lang w:val="en-US" w:eastAsia="zh-CN"/>
        </w:rPr>
      </w:pPr>
    </w:p>
    <w:p>
      <w:pPr>
        <w:pStyle w:val="28"/>
        <w:rPr>
          <w:rFonts w:hint="default"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r>
        <w:rPr>
          <w:rFonts w:hint="eastAsia" w:ascii="宋体" w:hAnsi="宋体" w:eastAsia="宋体" w:cs="宋体"/>
          <w:b/>
          <w:bCs/>
          <w:kern w:val="44"/>
          <w:sz w:val="30"/>
          <w:szCs w:val="30"/>
          <w:lang w:val="en-US" w:eastAsia="zh-CN"/>
        </w:rPr>
        <w:drawing>
          <wp:anchor distT="0" distB="0" distL="114300" distR="114300" simplePos="0" relativeHeight="251667456" behindDoc="0" locked="0" layoutInCell="1" allowOverlap="1">
            <wp:simplePos x="0" y="0"/>
            <wp:positionH relativeFrom="column">
              <wp:posOffset>95250</wp:posOffset>
            </wp:positionH>
            <wp:positionV relativeFrom="paragraph">
              <wp:posOffset>92710</wp:posOffset>
            </wp:positionV>
            <wp:extent cx="4979035" cy="7719060"/>
            <wp:effectExtent l="0" t="0" r="12065" b="15240"/>
            <wp:wrapNone/>
            <wp:docPr id="21" name="图片 21" descr="aa96d921a98353f31dd73700a34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aa96d921a98353f31dd73700a343678"/>
                    <pic:cNvPicPr>
                      <a:picLocks noChangeAspect="1"/>
                    </pic:cNvPicPr>
                  </pic:nvPicPr>
                  <pic:blipFill>
                    <a:blip r:embed="rId28"/>
                    <a:stretch>
                      <a:fillRect/>
                    </a:stretch>
                  </pic:blipFill>
                  <pic:spPr>
                    <a:xfrm>
                      <a:off x="0" y="0"/>
                      <a:ext cx="4979035" cy="7719060"/>
                    </a:xfrm>
                    <a:prstGeom prst="rect">
                      <a:avLst/>
                    </a:prstGeom>
                  </pic:spPr>
                </pic:pic>
              </a:graphicData>
            </a:graphic>
          </wp:anchor>
        </w:drawing>
      </w: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r>
        <w:rPr>
          <w:rFonts w:hint="eastAsia" w:ascii="宋体" w:hAnsi="宋体" w:eastAsia="宋体" w:cs="宋体"/>
          <w:b/>
          <w:bCs/>
          <w:kern w:val="44"/>
          <w:sz w:val="30"/>
          <w:szCs w:val="30"/>
          <w:lang w:val="en-US" w:eastAsia="zh-CN"/>
        </w:rPr>
        <w:drawing>
          <wp:anchor distT="0" distB="0" distL="114300" distR="114300" simplePos="0" relativeHeight="251668480" behindDoc="0" locked="0" layoutInCell="1" allowOverlap="1">
            <wp:simplePos x="0" y="0"/>
            <wp:positionH relativeFrom="column">
              <wp:posOffset>123825</wp:posOffset>
            </wp:positionH>
            <wp:positionV relativeFrom="paragraph">
              <wp:posOffset>325755</wp:posOffset>
            </wp:positionV>
            <wp:extent cx="4979035" cy="8014335"/>
            <wp:effectExtent l="0" t="0" r="12065" b="5715"/>
            <wp:wrapNone/>
            <wp:docPr id="22" name="图片 22" descr="8c3f1a66204c953aba5ed86043a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8c3f1a66204c953aba5ed86043a1432"/>
                    <pic:cNvPicPr>
                      <a:picLocks noChangeAspect="1"/>
                    </pic:cNvPicPr>
                  </pic:nvPicPr>
                  <pic:blipFill>
                    <a:blip r:embed="rId29"/>
                    <a:stretch>
                      <a:fillRect/>
                    </a:stretch>
                  </pic:blipFill>
                  <pic:spPr>
                    <a:xfrm>
                      <a:off x="0" y="0"/>
                      <a:ext cx="4979035" cy="8014335"/>
                    </a:xfrm>
                    <a:prstGeom prst="rect">
                      <a:avLst/>
                    </a:prstGeom>
                  </pic:spPr>
                </pic:pic>
              </a:graphicData>
            </a:graphic>
          </wp:anchor>
        </w:drawing>
      </w: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r>
        <w:rPr>
          <w:rFonts w:hint="eastAsia" w:ascii="宋体" w:hAnsi="宋体" w:eastAsia="宋体" w:cs="宋体"/>
          <w:b/>
          <w:bCs/>
          <w:kern w:val="44"/>
          <w:sz w:val="30"/>
          <w:szCs w:val="30"/>
          <w:lang w:val="en-US" w:eastAsia="zh-CN"/>
        </w:rPr>
        <w:drawing>
          <wp:anchor distT="0" distB="0" distL="114300" distR="114300" simplePos="0" relativeHeight="251669504" behindDoc="0" locked="0" layoutInCell="1" allowOverlap="1">
            <wp:simplePos x="0" y="0"/>
            <wp:positionH relativeFrom="column">
              <wp:posOffset>171450</wp:posOffset>
            </wp:positionH>
            <wp:positionV relativeFrom="paragraph">
              <wp:posOffset>212090</wp:posOffset>
            </wp:positionV>
            <wp:extent cx="4979035" cy="8118475"/>
            <wp:effectExtent l="0" t="0" r="12065" b="15875"/>
            <wp:wrapNone/>
            <wp:docPr id="23" name="图片 23" descr="f0787a736b9b1907a5d053f2c529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f0787a736b9b1907a5d053f2c529077"/>
                    <pic:cNvPicPr>
                      <a:picLocks noChangeAspect="1"/>
                    </pic:cNvPicPr>
                  </pic:nvPicPr>
                  <pic:blipFill>
                    <a:blip r:embed="rId30"/>
                    <a:stretch>
                      <a:fillRect/>
                    </a:stretch>
                  </pic:blipFill>
                  <pic:spPr>
                    <a:xfrm>
                      <a:off x="0" y="0"/>
                      <a:ext cx="4979035" cy="8118475"/>
                    </a:xfrm>
                    <a:prstGeom prst="rect">
                      <a:avLst/>
                    </a:prstGeom>
                  </pic:spPr>
                </pic:pic>
              </a:graphicData>
            </a:graphic>
          </wp:anchor>
        </w:drawing>
      </w: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r>
        <w:rPr>
          <w:rFonts w:hint="eastAsia" w:ascii="宋体" w:hAnsi="宋体" w:eastAsia="宋体" w:cs="宋体"/>
          <w:b/>
          <w:bCs/>
          <w:kern w:val="44"/>
          <w:sz w:val="30"/>
          <w:szCs w:val="30"/>
          <w:lang w:val="en-US" w:eastAsia="zh-CN"/>
        </w:rPr>
        <w:drawing>
          <wp:anchor distT="0" distB="0" distL="114300" distR="114300" simplePos="0" relativeHeight="251670528" behindDoc="0" locked="0" layoutInCell="1" allowOverlap="1">
            <wp:simplePos x="0" y="0"/>
            <wp:positionH relativeFrom="column">
              <wp:posOffset>152400</wp:posOffset>
            </wp:positionH>
            <wp:positionV relativeFrom="paragraph">
              <wp:posOffset>17145</wp:posOffset>
            </wp:positionV>
            <wp:extent cx="4979035" cy="8174990"/>
            <wp:effectExtent l="0" t="0" r="12065" b="16510"/>
            <wp:wrapNone/>
            <wp:docPr id="24" name="图片 24" descr="423d3bdb4f00fa7924a5f761ce1dc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423d3bdb4f00fa7924a5f761ce1dc1e"/>
                    <pic:cNvPicPr>
                      <a:picLocks noChangeAspect="1"/>
                    </pic:cNvPicPr>
                  </pic:nvPicPr>
                  <pic:blipFill>
                    <a:blip r:embed="rId31"/>
                    <a:stretch>
                      <a:fillRect/>
                    </a:stretch>
                  </pic:blipFill>
                  <pic:spPr>
                    <a:xfrm>
                      <a:off x="0" y="0"/>
                      <a:ext cx="4979035" cy="8174990"/>
                    </a:xfrm>
                    <a:prstGeom prst="rect">
                      <a:avLst/>
                    </a:prstGeom>
                  </pic:spPr>
                </pic:pic>
              </a:graphicData>
            </a:graphic>
          </wp:anchor>
        </w:drawing>
      </w: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r>
        <w:rPr>
          <w:rFonts w:hint="eastAsia" w:ascii="宋体" w:hAnsi="宋体" w:eastAsia="宋体" w:cs="宋体"/>
          <w:b/>
          <w:bCs/>
          <w:kern w:val="44"/>
          <w:sz w:val="30"/>
          <w:szCs w:val="30"/>
          <w:lang w:val="en-US" w:eastAsia="zh-CN"/>
        </w:rPr>
        <w:drawing>
          <wp:anchor distT="0" distB="0" distL="114300" distR="114300" simplePos="0" relativeHeight="251671552" behindDoc="0" locked="0" layoutInCell="1" allowOverlap="1">
            <wp:simplePos x="0" y="0"/>
            <wp:positionH relativeFrom="column">
              <wp:posOffset>171450</wp:posOffset>
            </wp:positionH>
            <wp:positionV relativeFrom="paragraph">
              <wp:posOffset>344805</wp:posOffset>
            </wp:positionV>
            <wp:extent cx="4979035" cy="8109585"/>
            <wp:effectExtent l="0" t="0" r="12065" b="5715"/>
            <wp:wrapNone/>
            <wp:docPr id="25" name="图片 25" descr="b41c790d5b025df9d6aee1638333d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b41c790d5b025df9d6aee1638333d9f"/>
                    <pic:cNvPicPr>
                      <a:picLocks noChangeAspect="1"/>
                    </pic:cNvPicPr>
                  </pic:nvPicPr>
                  <pic:blipFill>
                    <a:blip r:embed="rId31"/>
                    <a:stretch>
                      <a:fillRect/>
                    </a:stretch>
                  </pic:blipFill>
                  <pic:spPr>
                    <a:xfrm>
                      <a:off x="0" y="0"/>
                      <a:ext cx="4979035" cy="8109585"/>
                    </a:xfrm>
                    <a:prstGeom prst="rect">
                      <a:avLst/>
                    </a:prstGeom>
                  </pic:spPr>
                </pic:pic>
              </a:graphicData>
            </a:graphic>
          </wp:anchor>
        </w:drawing>
      </w: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r>
        <w:rPr>
          <w:rFonts w:hint="eastAsia" w:ascii="宋体" w:hAnsi="宋体" w:eastAsia="宋体" w:cs="宋体"/>
          <w:b/>
          <w:bCs/>
          <w:kern w:val="44"/>
          <w:sz w:val="30"/>
          <w:szCs w:val="30"/>
          <w:lang w:val="en-US" w:eastAsia="zh-CN"/>
        </w:rPr>
        <w:drawing>
          <wp:anchor distT="0" distB="0" distL="114300" distR="114300" simplePos="0" relativeHeight="251672576" behindDoc="0" locked="0" layoutInCell="1" allowOverlap="1">
            <wp:simplePos x="0" y="0"/>
            <wp:positionH relativeFrom="column">
              <wp:posOffset>161925</wp:posOffset>
            </wp:positionH>
            <wp:positionV relativeFrom="paragraph">
              <wp:posOffset>297815</wp:posOffset>
            </wp:positionV>
            <wp:extent cx="4979035" cy="8136890"/>
            <wp:effectExtent l="0" t="0" r="12065" b="16510"/>
            <wp:wrapNone/>
            <wp:docPr id="26" name="图片 26" descr="49d221aa665d1b4c7c6b32d9dd8d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9d221aa665d1b4c7c6b32d9dd8de28"/>
                    <pic:cNvPicPr>
                      <a:picLocks noChangeAspect="1"/>
                    </pic:cNvPicPr>
                  </pic:nvPicPr>
                  <pic:blipFill>
                    <a:blip r:embed="rId32"/>
                    <a:stretch>
                      <a:fillRect/>
                    </a:stretch>
                  </pic:blipFill>
                  <pic:spPr>
                    <a:xfrm>
                      <a:off x="0" y="0"/>
                      <a:ext cx="4979035" cy="8136890"/>
                    </a:xfrm>
                    <a:prstGeom prst="rect">
                      <a:avLst/>
                    </a:prstGeom>
                  </pic:spPr>
                </pic:pic>
              </a:graphicData>
            </a:graphic>
          </wp:anchor>
        </w:drawing>
      </w: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pStyle w:val="28"/>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0"/>
        <w:rPr>
          <w:rFonts w:hint="default" w:ascii="宋体" w:hAnsi="宋体" w:eastAsia="宋体" w:cs="宋体"/>
          <w:b/>
          <w:bCs/>
          <w:kern w:val="44"/>
          <w:sz w:val="28"/>
          <w:szCs w:val="28"/>
          <w:lang w:val="en-US" w:eastAsia="zh-CN"/>
        </w:rPr>
      </w:pPr>
      <w:bookmarkStart w:id="218" w:name="_Toc3548"/>
      <w:r>
        <w:rPr>
          <w:rFonts w:hint="eastAsia" w:ascii="宋体" w:hAnsi="宋体" w:eastAsia="宋体" w:cs="宋体"/>
          <w:b/>
          <w:bCs/>
          <w:kern w:val="44"/>
          <w:sz w:val="28"/>
          <w:szCs w:val="28"/>
          <w:lang w:val="en-US" w:eastAsia="zh-CN"/>
        </w:rPr>
        <w:t>附件四、动物无害化处置协议</w:t>
      </w:r>
      <w:bookmarkEnd w:id="218"/>
    </w:p>
    <w:p>
      <w:pPr>
        <w:pStyle w:val="13"/>
      </w:pPr>
    </w:p>
    <w:p>
      <w:pPr>
        <w:pStyle w:val="13"/>
        <w:rPr>
          <w:rFonts w:hint="eastAsia" w:ascii="宋体" w:hAnsi="宋体" w:eastAsia="宋体" w:cs="宋体"/>
          <w:b/>
          <w:bCs/>
          <w:kern w:val="44"/>
          <w:sz w:val="30"/>
          <w:szCs w:val="30"/>
          <w:lang w:val="en-US" w:eastAsia="zh-CN"/>
        </w:rPr>
      </w:pPr>
      <w:r>
        <w:rPr>
          <w:rFonts w:hint="eastAsia" w:ascii="宋体" w:hAnsi="宋体" w:eastAsia="宋体" w:cs="宋体"/>
          <w:b/>
          <w:bCs/>
          <w:kern w:val="44"/>
          <w:sz w:val="30"/>
          <w:szCs w:val="30"/>
          <w:lang w:val="en-US" w:eastAsia="zh-CN"/>
        </w:rPr>
        <w:drawing>
          <wp:anchor distT="0" distB="0" distL="114300" distR="114300" simplePos="0" relativeHeight="251674624" behindDoc="0" locked="0" layoutInCell="1" allowOverlap="1">
            <wp:simplePos x="0" y="0"/>
            <wp:positionH relativeFrom="column">
              <wp:posOffset>171450</wp:posOffset>
            </wp:positionH>
            <wp:positionV relativeFrom="paragraph">
              <wp:posOffset>361315</wp:posOffset>
            </wp:positionV>
            <wp:extent cx="4666615" cy="7022465"/>
            <wp:effectExtent l="0" t="0" r="635" b="6985"/>
            <wp:wrapNone/>
            <wp:docPr id="12" name="图片 12" descr="5efc1629fba7c87e94a0be3ce931a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efc1629fba7c87e94a0be3ce931a1b"/>
                    <pic:cNvPicPr>
                      <a:picLocks noChangeAspect="1"/>
                    </pic:cNvPicPr>
                  </pic:nvPicPr>
                  <pic:blipFill>
                    <a:blip r:embed="rId33"/>
                    <a:stretch>
                      <a:fillRect/>
                    </a:stretch>
                  </pic:blipFill>
                  <pic:spPr>
                    <a:xfrm>
                      <a:off x="0" y="0"/>
                      <a:ext cx="4666615" cy="7022465"/>
                    </a:xfrm>
                    <a:prstGeom prst="rect">
                      <a:avLst/>
                    </a:prstGeom>
                  </pic:spPr>
                </pic:pic>
              </a:graphicData>
            </a:graphic>
          </wp:anchor>
        </w:drawing>
      </w: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pStyle w:val="13"/>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0"/>
        <w:rPr>
          <w:rFonts w:hint="eastAsia" w:ascii="宋体" w:hAnsi="宋体" w:eastAsia="宋体" w:cs="宋体"/>
          <w:b/>
          <w:bCs/>
          <w:kern w:val="44"/>
          <w:sz w:val="28"/>
          <w:szCs w:val="28"/>
          <w:lang w:val="en-US" w:eastAsia="zh-CN"/>
        </w:rPr>
      </w:pPr>
      <w:bookmarkStart w:id="219" w:name="_Toc31610"/>
      <w:r>
        <w:rPr>
          <w:rFonts w:hint="eastAsia" w:ascii="宋体" w:hAnsi="宋体" w:eastAsia="宋体" w:cs="宋体"/>
          <w:b/>
          <w:bCs/>
          <w:kern w:val="44"/>
          <w:sz w:val="28"/>
          <w:szCs w:val="28"/>
          <w:lang w:val="en-US" w:eastAsia="zh-CN"/>
        </w:rPr>
        <w:t>附件五、</w:t>
      </w:r>
      <w:r>
        <w:rPr>
          <w:rFonts w:hint="eastAsia" w:asciiTheme="minorEastAsia" w:hAnsiTheme="minorEastAsia" w:eastAsiaTheme="minorEastAsia" w:cstheme="minorEastAsia"/>
          <w:b/>
          <w:bCs/>
          <w:sz w:val="28"/>
          <w:szCs w:val="28"/>
          <w:lang w:val="en-US" w:eastAsia="zh-CN"/>
        </w:rPr>
        <w:t>有机肥基料生产工艺及环保设施变更说明</w:t>
      </w:r>
      <w:bookmarkEnd w:id="219"/>
    </w:p>
    <w:p>
      <w:pPr>
        <w:pStyle w:val="28"/>
        <w:numPr>
          <w:ilvl w:val="0"/>
          <w:numId w:val="0"/>
        </w:numPr>
        <w:spacing w:line="360" w:lineRule="auto"/>
        <w:ind w:firstLine="602" w:firstLineChars="200"/>
        <w:rPr>
          <w:rFonts w:hint="eastAsia" w:ascii="仿宋" w:hAnsi="仿宋" w:eastAsia="仿宋" w:cs="仿宋"/>
          <w:sz w:val="28"/>
          <w:szCs w:val="28"/>
          <w:lang w:val="en-US" w:eastAsia="zh-CN"/>
        </w:rPr>
      </w:pPr>
      <w:r>
        <w:rPr>
          <w:rFonts w:hint="eastAsia" w:ascii="宋体" w:hAnsi="宋体" w:eastAsia="宋体" w:cs="宋体"/>
          <w:b/>
          <w:bCs/>
          <w:kern w:val="44"/>
          <w:sz w:val="30"/>
          <w:szCs w:val="30"/>
          <w:lang w:val="en-US" w:eastAsia="zh-CN"/>
        </w:rPr>
        <w:drawing>
          <wp:anchor distT="0" distB="0" distL="114300" distR="114300" simplePos="0" relativeHeight="251675648" behindDoc="0" locked="0" layoutInCell="1" allowOverlap="1">
            <wp:simplePos x="0" y="0"/>
            <wp:positionH relativeFrom="column">
              <wp:posOffset>57150</wp:posOffset>
            </wp:positionH>
            <wp:positionV relativeFrom="paragraph">
              <wp:posOffset>412115</wp:posOffset>
            </wp:positionV>
            <wp:extent cx="4752975" cy="6280150"/>
            <wp:effectExtent l="0" t="0" r="9525" b="6350"/>
            <wp:wrapNone/>
            <wp:docPr id="13" name="图片 13" descr="4162f2de3f8e20279ba06ef4cae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4162f2de3f8e20279ba06ef4cae7254"/>
                    <pic:cNvPicPr>
                      <a:picLocks noChangeAspect="1"/>
                    </pic:cNvPicPr>
                  </pic:nvPicPr>
                  <pic:blipFill>
                    <a:blip r:embed="rId34"/>
                    <a:stretch>
                      <a:fillRect/>
                    </a:stretch>
                  </pic:blipFill>
                  <pic:spPr>
                    <a:xfrm>
                      <a:off x="0" y="0"/>
                      <a:ext cx="4752975" cy="6280150"/>
                    </a:xfrm>
                    <a:prstGeom prst="rect">
                      <a:avLst/>
                    </a:prstGeom>
                  </pic:spPr>
                </pic:pic>
              </a:graphicData>
            </a:graphic>
          </wp:anchor>
        </w:drawing>
      </w: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p>
      <w:pPr>
        <w:keepNext/>
        <w:keepLines/>
        <w:spacing w:line="240" w:lineRule="auto"/>
        <w:ind w:firstLine="0" w:firstLineChars="0"/>
        <w:jc w:val="left"/>
        <w:outlineLvl w:val="9"/>
        <w:rPr>
          <w:rFonts w:hint="eastAsia" w:ascii="宋体" w:hAnsi="宋体" w:eastAsia="宋体" w:cs="宋体"/>
          <w:b/>
          <w:bCs/>
          <w:kern w:val="44"/>
          <w:sz w:val="30"/>
          <w:szCs w:val="30"/>
          <w:lang w:val="en-US" w:eastAsia="zh-CN"/>
        </w:rPr>
      </w:pPr>
    </w:p>
    <w:bookmarkEnd w:id="214"/>
    <w:bookmarkEnd w:id="215"/>
    <w:p>
      <w:pPr>
        <w:pStyle w:val="28"/>
        <w:rPr>
          <w:rFonts w:hint="default"/>
          <w:lang w:val="en-US" w:eastAsia="zh-CN"/>
        </w:rPr>
      </w:pPr>
    </w:p>
    <w:p>
      <w:pPr>
        <w:pStyle w:val="13"/>
      </w:pPr>
    </w:p>
    <w:p>
      <w:pPr>
        <w:pStyle w:val="13"/>
        <w:rPr>
          <w:rFonts w:hint="eastAsia" w:eastAsia="宋体"/>
          <w:lang w:eastAsia="zh-CN"/>
        </w:rPr>
      </w:pPr>
    </w:p>
    <w:p>
      <w:pPr>
        <w:keepNext/>
        <w:keepLines/>
        <w:spacing w:line="240" w:lineRule="auto"/>
        <w:ind w:firstLine="0" w:firstLineChars="0"/>
        <w:jc w:val="left"/>
        <w:outlineLvl w:val="0"/>
        <w:rPr>
          <w:rFonts w:hint="eastAsia" w:ascii="宋体" w:hAnsi="宋体" w:eastAsia="宋体" w:cs="宋体"/>
          <w:b/>
          <w:bCs/>
          <w:kern w:val="44"/>
          <w:sz w:val="28"/>
          <w:szCs w:val="28"/>
          <w:lang w:val="en-US" w:eastAsia="zh-CN"/>
        </w:rPr>
      </w:pPr>
      <w:bookmarkStart w:id="220" w:name="_Toc3900"/>
      <w:r>
        <w:rPr>
          <w:rFonts w:hint="eastAsia" w:ascii="宋体" w:hAnsi="宋体" w:eastAsia="宋体" w:cs="宋体"/>
          <w:b/>
          <w:bCs/>
          <w:kern w:val="44"/>
          <w:sz w:val="28"/>
          <w:szCs w:val="28"/>
          <w:lang w:val="en-US" w:eastAsia="zh-CN"/>
        </w:rPr>
        <w:t>附件六、企业承诺书</w:t>
      </w:r>
      <w:bookmarkEnd w:id="220"/>
    </w:p>
    <w:p>
      <w:pPr>
        <w:pStyle w:val="13"/>
      </w:pPr>
    </w:p>
    <w:p>
      <w:pPr>
        <w:pStyle w:val="13"/>
      </w:pPr>
      <w:r>
        <w:rPr>
          <w:rFonts w:hint="eastAsia" w:eastAsia="宋体"/>
          <w:lang w:eastAsia="zh-CN"/>
        </w:rPr>
        <w:drawing>
          <wp:anchor distT="0" distB="0" distL="114300" distR="114300" simplePos="0" relativeHeight="251673600" behindDoc="0" locked="0" layoutInCell="1" allowOverlap="1">
            <wp:simplePos x="0" y="0"/>
            <wp:positionH relativeFrom="column">
              <wp:posOffset>-28575</wp:posOffset>
            </wp:positionH>
            <wp:positionV relativeFrom="paragraph">
              <wp:posOffset>172720</wp:posOffset>
            </wp:positionV>
            <wp:extent cx="4979035" cy="7882255"/>
            <wp:effectExtent l="0" t="0" r="12065" b="4445"/>
            <wp:wrapNone/>
            <wp:docPr id="27" name="图片 27" descr="312060c8dc74d1cf5511dcd21b0a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312060c8dc74d1cf5511dcd21b0a867"/>
                    <pic:cNvPicPr>
                      <a:picLocks noChangeAspect="1"/>
                    </pic:cNvPicPr>
                  </pic:nvPicPr>
                  <pic:blipFill>
                    <a:blip r:embed="rId35"/>
                    <a:stretch>
                      <a:fillRect/>
                    </a:stretch>
                  </pic:blipFill>
                  <pic:spPr>
                    <a:xfrm>
                      <a:off x="0" y="0"/>
                      <a:ext cx="4979035" cy="7882255"/>
                    </a:xfrm>
                    <a:prstGeom prst="rect">
                      <a:avLst/>
                    </a:prstGeom>
                  </pic:spPr>
                </pic:pic>
              </a:graphicData>
            </a:graphic>
          </wp:anchor>
        </w:drawing>
      </w:r>
    </w:p>
    <w:p>
      <w:pPr>
        <w:pStyle w:val="13"/>
      </w:pPr>
    </w:p>
    <w:p>
      <w:pPr>
        <w:pStyle w:val="13"/>
        <w:ind w:firstLine="105" w:firstLineChars="50"/>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pPr>
    </w:p>
    <w:p>
      <w:pPr>
        <w:pStyle w:val="13"/>
        <w:rPr>
          <w:rFonts w:hint="eastAsia" w:ascii="宋体" w:hAnsi="宋体" w:eastAsia="宋体" w:cs="宋体"/>
          <w:b/>
          <w:bCs/>
          <w:kern w:val="44"/>
          <w:sz w:val="30"/>
          <w:szCs w:val="30"/>
          <w:lang w:val="en-US" w:eastAsia="zh-CN"/>
        </w:rPr>
      </w:pPr>
    </w:p>
    <w:p>
      <w:pPr>
        <w:pStyle w:val="13"/>
        <w:rPr>
          <w:sz w:val="28"/>
          <w:szCs w:val="28"/>
        </w:rPr>
      </w:pPr>
      <w:r>
        <w:rPr>
          <w:rFonts w:hint="eastAsia" w:ascii="宋体" w:hAnsi="宋体" w:eastAsia="宋体" w:cs="宋体"/>
          <w:b/>
          <w:bCs/>
          <w:kern w:val="44"/>
          <w:sz w:val="28"/>
          <w:szCs w:val="28"/>
          <w:lang w:val="en-US" w:eastAsia="zh-CN"/>
        </w:rPr>
        <w:t>附件</w:t>
      </w:r>
      <w:r>
        <w:rPr>
          <w:rFonts w:hint="eastAsia" w:hAnsi="宋体" w:cs="宋体"/>
          <w:b/>
          <w:bCs/>
          <w:kern w:val="44"/>
          <w:sz w:val="28"/>
          <w:szCs w:val="28"/>
          <w:lang w:val="en-US" w:eastAsia="zh-CN"/>
        </w:rPr>
        <w:t>七</w:t>
      </w:r>
      <w:r>
        <w:rPr>
          <w:rFonts w:hint="eastAsia" w:ascii="宋体" w:hAnsi="宋体" w:eastAsia="宋体" w:cs="宋体"/>
          <w:b/>
          <w:bCs/>
          <w:kern w:val="44"/>
          <w:sz w:val="28"/>
          <w:szCs w:val="28"/>
          <w:lang w:val="en-US" w:eastAsia="zh-CN"/>
        </w:rPr>
        <w:t>、</w:t>
      </w:r>
      <w:r>
        <w:rPr>
          <w:rFonts w:hint="eastAsia" w:ascii="宋体" w:hAnsi="宋体" w:eastAsia="宋体" w:cs="宋体"/>
          <w:b/>
          <w:bCs/>
          <w:kern w:val="44"/>
          <w:sz w:val="28"/>
          <w:szCs w:val="28"/>
        </w:rPr>
        <w:t>检测报告</w:t>
      </w:r>
    </w:p>
    <w:p>
      <w:pPr>
        <w:pStyle w:val="13"/>
      </w:pPr>
    </w:p>
    <w:p>
      <w:pPr>
        <w:pStyle w:val="13"/>
        <w:rPr>
          <w:rFonts w:hint="eastAsia" w:eastAsia="宋体"/>
          <w:lang w:eastAsia="zh-CN"/>
        </w:rPr>
      </w:pPr>
      <w:r>
        <w:rPr>
          <w:rFonts w:hint="eastAsia" w:eastAsia="宋体"/>
          <w:lang w:eastAsia="zh-CN"/>
        </w:rPr>
        <w:drawing>
          <wp:inline distT="0" distB="0" distL="114300" distR="114300">
            <wp:extent cx="5272405" cy="6805295"/>
            <wp:effectExtent l="0" t="0" r="4445" b="14605"/>
            <wp:docPr id="7" name="图片 7" descr="微信截图_2023103111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截图_20231031112117"/>
                    <pic:cNvPicPr>
                      <a:picLocks noChangeAspect="1"/>
                    </pic:cNvPicPr>
                  </pic:nvPicPr>
                  <pic:blipFill>
                    <a:blip r:embed="rId36"/>
                    <a:stretch>
                      <a:fillRect/>
                    </a:stretch>
                  </pic:blipFill>
                  <pic:spPr>
                    <a:xfrm>
                      <a:off x="0" y="0"/>
                      <a:ext cx="5272405" cy="6805295"/>
                    </a:xfrm>
                    <a:prstGeom prst="rect">
                      <a:avLst/>
                    </a:prstGeom>
                  </pic:spPr>
                </pic:pic>
              </a:graphicData>
            </a:graphic>
          </wp:inline>
        </w:drawing>
      </w:r>
    </w:p>
    <w:p>
      <w:pPr>
        <w:pStyle w:val="13"/>
      </w:pPr>
    </w:p>
    <w:p>
      <w:pPr>
        <w:pStyle w:val="13"/>
      </w:pPr>
    </w:p>
    <w:p>
      <w:pPr>
        <w:pStyle w:val="13"/>
      </w:pPr>
    </w:p>
    <w:p>
      <w:pPr>
        <w:pStyle w:val="13"/>
      </w:pPr>
    </w:p>
    <w:p>
      <w:pPr>
        <w:pStyle w:val="13"/>
      </w:pPr>
    </w:p>
    <w:p>
      <w:pPr>
        <w:pStyle w:val="13"/>
      </w:pPr>
    </w:p>
    <w:p>
      <w:pPr>
        <w:pStyle w:val="13"/>
      </w:pPr>
    </w:p>
    <w:p>
      <w:pPr>
        <w:pStyle w:val="13"/>
      </w:pPr>
    </w:p>
    <w:p>
      <w:pPr>
        <w:pStyle w:val="13"/>
        <w:rPr>
          <w:rFonts w:hint="eastAsia" w:eastAsia="宋体"/>
          <w:lang w:eastAsia="zh-CN"/>
        </w:rPr>
      </w:pPr>
      <w:r>
        <w:rPr>
          <w:rFonts w:hint="eastAsia" w:eastAsia="宋体"/>
          <w:lang w:eastAsia="zh-CN"/>
        </w:rPr>
        <w:drawing>
          <wp:inline distT="0" distB="0" distL="114300" distR="114300">
            <wp:extent cx="5269865" cy="7248525"/>
            <wp:effectExtent l="0" t="0" r="6985" b="9525"/>
            <wp:docPr id="10" name="图片 10" descr="微信截图_2023103111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截图_20231031112156"/>
                    <pic:cNvPicPr>
                      <a:picLocks noChangeAspect="1"/>
                    </pic:cNvPicPr>
                  </pic:nvPicPr>
                  <pic:blipFill>
                    <a:blip r:embed="rId37"/>
                    <a:stretch>
                      <a:fillRect/>
                    </a:stretch>
                  </pic:blipFill>
                  <pic:spPr>
                    <a:xfrm>
                      <a:off x="0" y="0"/>
                      <a:ext cx="5269865" cy="7248525"/>
                    </a:xfrm>
                    <a:prstGeom prst="rect">
                      <a:avLst/>
                    </a:prstGeom>
                  </pic:spPr>
                </pic:pic>
              </a:graphicData>
            </a:graphic>
          </wp:inline>
        </w:drawing>
      </w:r>
    </w:p>
    <w:p>
      <w:pPr>
        <w:pStyle w:val="13"/>
      </w:pPr>
    </w:p>
    <w:p>
      <w:pPr>
        <w:pStyle w:val="13"/>
      </w:pPr>
    </w:p>
    <w:p>
      <w:pPr>
        <w:pStyle w:val="13"/>
      </w:pPr>
    </w:p>
    <w:p>
      <w:pPr>
        <w:pStyle w:val="13"/>
      </w:pPr>
    </w:p>
    <w:p>
      <w:pPr>
        <w:pStyle w:val="13"/>
      </w:pPr>
    </w:p>
    <w:p>
      <w:pPr>
        <w:pStyle w:val="13"/>
      </w:pPr>
    </w:p>
    <w:p>
      <w:pPr>
        <w:pStyle w:val="13"/>
        <w:rPr>
          <w:rFonts w:hint="eastAsia" w:eastAsia="宋体"/>
          <w:lang w:eastAsia="zh-CN"/>
        </w:rPr>
      </w:pPr>
      <w:r>
        <w:rPr>
          <w:rFonts w:hint="eastAsia" w:eastAsia="宋体"/>
          <w:lang w:eastAsia="zh-CN"/>
        </w:rPr>
        <w:drawing>
          <wp:inline distT="0" distB="0" distL="114300" distR="114300">
            <wp:extent cx="5269865" cy="7677785"/>
            <wp:effectExtent l="0" t="0" r="6985" b="18415"/>
            <wp:docPr id="11" name="图片 11" descr="微信截图_2023103111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截图_20231031112215"/>
                    <pic:cNvPicPr>
                      <a:picLocks noChangeAspect="1"/>
                    </pic:cNvPicPr>
                  </pic:nvPicPr>
                  <pic:blipFill>
                    <a:blip r:embed="rId38"/>
                    <a:stretch>
                      <a:fillRect/>
                    </a:stretch>
                  </pic:blipFill>
                  <pic:spPr>
                    <a:xfrm>
                      <a:off x="0" y="0"/>
                      <a:ext cx="5269865" cy="7677785"/>
                    </a:xfrm>
                    <a:prstGeom prst="rect">
                      <a:avLst/>
                    </a:prstGeom>
                  </pic:spPr>
                </pic:pic>
              </a:graphicData>
            </a:graphic>
          </wp:inline>
        </w:drawing>
      </w:r>
    </w:p>
    <w:p>
      <w:pPr>
        <w:pStyle w:val="13"/>
      </w:pPr>
    </w:p>
    <w:p>
      <w:pPr>
        <w:pStyle w:val="13"/>
      </w:pPr>
    </w:p>
    <w:p>
      <w:pPr>
        <w:pStyle w:val="13"/>
      </w:pPr>
    </w:p>
    <w:p>
      <w:pPr>
        <w:pStyle w:val="13"/>
      </w:pPr>
    </w:p>
    <w:p>
      <w:pPr>
        <w:pStyle w:val="13"/>
        <w:rPr>
          <w:rFonts w:hint="eastAsia" w:eastAsia="宋体"/>
          <w:lang w:eastAsia="zh-CN"/>
        </w:rPr>
      </w:pPr>
      <w:r>
        <w:rPr>
          <w:rFonts w:hint="eastAsia" w:eastAsia="宋体"/>
          <w:lang w:eastAsia="zh-CN"/>
        </w:rPr>
        <w:drawing>
          <wp:inline distT="0" distB="0" distL="114300" distR="114300">
            <wp:extent cx="5269230" cy="8084185"/>
            <wp:effectExtent l="0" t="0" r="7620" b="12065"/>
            <wp:docPr id="29" name="图片 29" descr="微信截图_2023103111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微信截图_20231031112235"/>
                    <pic:cNvPicPr>
                      <a:picLocks noChangeAspect="1"/>
                    </pic:cNvPicPr>
                  </pic:nvPicPr>
                  <pic:blipFill>
                    <a:blip r:embed="rId39"/>
                    <a:stretch>
                      <a:fillRect/>
                    </a:stretch>
                  </pic:blipFill>
                  <pic:spPr>
                    <a:xfrm>
                      <a:off x="0" y="0"/>
                      <a:ext cx="5269230" cy="8084185"/>
                    </a:xfrm>
                    <a:prstGeom prst="rect">
                      <a:avLst/>
                    </a:prstGeom>
                  </pic:spPr>
                </pic:pic>
              </a:graphicData>
            </a:graphic>
          </wp:inline>
        </w:drawing>
      </w:r>
    </w:p>
    <w:p>
      <w:pPr>
        <w:pStyle w:val="13"/>
      </w:pPr>
    </w:p>
    <w:p>
      <w:pPr>
        <w:pStyle w:val="13"/>
      </w:pPr>
    </w:p>
    <w:p>
      <w:pPr>
        <w:pStyle w:val="13"/>
        <w:rPr>
          <w:rFonts w:hint="eastAsia" w:eastAsia="宋体"/>
          <w:lang w:eastAsia="zh-CN"/>
        </w:rPr>
      </w:pPr>
      <w:r>
        <w:rPr>
          <w:rFonts w:hint="eastAsia" w:eastAsia="宋体"/>
          <w:lang w:eastAsia="zh-CN"/>
        </w:rPr>
        <w:drawing>
          <wp:inline distT="0" distB="0" distL="114300" distR="114300">
            <wp:extent cx="5272405" cy="7496810"/>
            <wp:effectExtent l="0" t="0" r="4445" b="8890"/>
            <wp:docPr id="30" name="图片 30" descr="微信截图_2023103111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截图_20231031112258"/>
                    <pic:cNvPicPr>
                      <a:picLocks noChangeAspect="1"/>
                    </pic:cNvPicPr>
                  </pic:nvPicPr>
                  <pic:blipFill>
                    <a:blip r:embed="rId40"/>
                    <a:stretch>
                      <a:fillRect/>
                    </a:stretch>
                  </pic:blipFill>
                  <pic:spPr>
                    <a:xfrm>
                      <a:off x="0" y="0"/>
                      <a:ext cx="5272405" cy="7496810"/>
                    </a:xfrm>
                    <a:prstGeom prst="rect">
                      <a:avLst/>
                    </a:prstGeom>
                  </pic:spPr>
                </pic:pic>
              </a:graphicData>
            </a:graphic>
          </wp:inline>
        </w:drawing>
      </w:r>
    </w:p>
    <w:p>
      <w:pPr>
        <w:pStyle w:val="13"/>
      </w:pPr>
    </w:p>
    <w:p>
      <w:pPr>
        <w:pStyle w:val="13"/>
      </w:pPr>
    </w:p>
    <w:p>
      <w:pPr>
        <w:pStyle w:val="13"/>
      </w:pPr>
    </w:p>
    <w:p>
      <w:pPr>
        <w:pStyle w:val="13"/>
        <w:rPr>
          <w:rFonts w:hint="default" w:eastAsia="宋体"/>
          <w:sz w:val="28"/>
          <w:szCs w:val="28"/>
          <w:lang w:val="en-US" w:eastAsia="zh-CN"/>
        </w:rPr>
      </w:pPr>
      <w:r>
        <w:rPr>
          <w:rFonts w:hint="eastAsia" w:ascii="宋体" w:hAnsi="宋体" w:eastAsia="宋体" w:cs="宋体"/>
          <w:b/>
          <w:bCs/>
          <w:kern w:val="44"/>
          <w:sz w:val="28"/>
          <w:szCs w:val="28"/>
          <w:lang w:val="en-US" w:eastAsia="zh-CN"/>
        </w:rPr>
        <w:t>附件</w:t>
      </w:r>
      <w:r>
        <w:rPr>
          <w:rFonts w:hint="eastAsia" w:hAnsi="宋体" w:cs="宋体"/>
          <w:b/>
          <w:bCs/>
          <w:kern w:val="44"/>
          <w:sz w:val="28"/>
          <w:szCs w:val="28"/>
          <w:lang w:val="en-US" w:eastAsia="zh-CN"/>
        </w:rPr>
        <w:t>八</w:t>
      </w:r>
      <w:r>
        <w:rPr>
          <w:rFonts w:hint="eastAsia" w:ascii="宋体" w:hAnsi="宋体" w:eastAsia="宋体" w:cs="宋体"/>
          <w:b/>
          <w:bCs/>
          <w:kern w:val="44"/>
          <w:sz w:val="28"/>
          <w:szCs w:val="28"/>
          <w:lang w:val="en-US" w:eastAsia="zh-CN"/>
        </w:rPr>
        <w:t>、</w:t>
      </w:r>
      <w:r>
        <w:rPr>
          <w:rFonts w:hint="eastAsia" w:hAnsi="宋体" w:cs="宋体"/>
          <w:b/>
          <w:bCs/>
          <w:kern w:val="44"/>
          <w:sz w:val="28"/>
          <w:szCs w:val="28"/>
          <w:lang w:val="en-US" w:eastAsia="zh-CN"/>
        </w:rPr>
        <w:t>会议签到表</w:t>
      </w:r>
    </w:p>
    <w:p>
      <w:pPr>
        <w:pStyle w:val="13"/>
      </w:pPr>
    </w:p>
    <w:p>
      <w:pPr>
        <w:pStyle w:val="13"/>
      </w:pPr>
      <w:r>
        <w:rPr>
          <w:rFonts w:hint="eastAsia" w:eastAsia="宋体"/>
          <w:lang w:eastAsia="zh-CN"/>
        </w:rPr>
        <w:drawing>
          <wp:anchor distT="0" distB="0" distL="114300" distR="114300" simplePos="0" relativeHeight="251688960" behindDoc="0" locked="0" layoutInCell="1" allowOverlap="1">
            <wp:simplePos x="0" y="0"/>
            <wp:positionH relativeFrom="column">
              <wp:posOffset>219075</wp:posOffset>
            </wp:positionH>
            <wp:positionV relativeFrom="paragraph">
              <wp:posOffset>20955</wp:posOffset>
            </wp:positionV>
            <wp:extent cx="5019040" cy="7019925"/>
            <wp:effectExtent l="0" t="0" r="10160" b="9525"/>
            <wp:wrapNone/>
            <wp:docPr id="41" name="图片 41" descr="564688fae89923c774b169e2e0a43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564688fae89923c774b169e2e0a43de"/>
                    <pic:cNvPicPr>
                      <a:picLocks noChangeAspect="1"/>
                    </pic:cNvPicPr>
                  </pic:nvPicPr>
                  <pic:blipFill>
                    <a:blip r:embed="rId41"/>
                    <a:stretch>
                      <a:fillRect/>
                    </a:stretch>
                  </pic:blipFill>
                  <pic:spPr>
                    <a:xfrm>
                      <a:off x="0" y="0"/>
                      <a:ext cx="5019040" cy="7019925"/>
                    </a:xfrm>
                    <a:prstGeom prst="rect">
                      <a:avLst/>
                    </a:prstGeom>
                  </pic:spPr>
                </pic:pic>
              </a:graphicData>
            </a:graphic>
          </wp:anchor>
        </w:drawing>
      </w: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pPr>
    </w:p>
    <w:p>
      <w:pPr>
        <w:pStyle w:val="13"/>
      </w:pPr>
    </w:p>
    <w:p>
      <w:pPr>
        <w:pStyle w:val="13"/>
      </w:pPr>
    </w:p>
    <w:p>
      <w:pPr>
        <w:pStyle w:val="13"/>
        <w:rPr>
          <w:rFonts w:hint="default"/>
          <w:sz w:val="28"/>
          <w:szCs w:val="28"/>
          <w:lang w:val="en-US"/>
        </w:rPr>
      </w:pPr>
      <w:r>
        <w:rPr>
          <w:rFonts w:hint="eastAsia" w:ascii="宋体" w:hAnsi="宋体" w:eastAsia="宋体" w:cs="宋体"/>
          <w:b/>
          <w:bCs/>
          <w:kern w:val="44"/>
          <w:sz w:val="28"/>
          <w:szCs w:val="28"/>
          <w:lang w:val="en-US" w:eastAsia="zh-CN"/>
        </w:rPr>
        <w:t>附件</w:t>
      </w:r>
      <w:r>
        <w:rPr>
          <w:rFonts w:hint="eastAsia" w:hAnsi="宋体" w:cs="宋体"/>
          <w:b/>
          <w:bCs/>
          <w:kern w:val="44"/>
          <w:sz w:val="28"/>
          <w:szCs w:val="28"/>
          <w:lang w:val="en-US" w:eastAsia="zh-CN"/>
        </w:rPr>
        <w:t>九</w:t>
      </w:r>
      <w:r>
        <w:rPr>
          <w:rFonts w:hint="eastAsia" w:ascii="宋体" w:hAnsi="宋体" w:eastAsia="宋体" w:cs="宋体"/>
          <w:b/>
          <w:bCs/>
          <w:kern w:val="44"/>
          <w:sz w:val="28"/>
          <w:szCs w:val="28"/>
          <w:lang w:val="en-US" w:eastAsia="zh-CN"/>
        </w:rPr>
        <w:t>、</w:t>
      </w:r>
      <w:r>
        <w:rPr>
          <w:rFonts w:hint="eastAsia" w:hAnsi="宋体" w:cs="宋体"/>
          <w:b/>
          <w:bCs/>
          <w:kern w:val="44"/>
          <w:sz w:val="28"/>
          <w:szCs w:val="28"/>
          <w:lang w:val="en-US" w:eastAsia="zh-CN"/>
        </w:rPr>
        <w:t>评审意见</w:t>
      </w:r>
    </w:p>
    <w:p>
      <w:pPr>
        <w:pStyle w:val="28"/>
        <w:ind w:left="0" w:leftChars="0" w:firstLine="723" w:firstLineChars="200"/>
        <w:jc w:val="both"/>
        <w:rPr>
          <w:rFonts w:hint="eastAsia" w:ascii="仿宋" w:hAnsi="仿宋" w:eastAsia="仿宋" w:cs="仿宋"/>
          <w:b/>
          <w:bCs/>
          <w:sz w:val="36"/>
          <w:szCs w:val="36"/>
          <w:lang w:eastAsia="zh-CN"/>
        </w:rPr>
      </w:pPr>
      <w:r>
        <w:rPr>
          <w:rFonts w:hint="eastAsia" w:ascii="仿宋" w:hAnsi="仿宋" w:eastAsia="仿宋" w:cs="仿宋"/>
          <w:b/>
          <w:bCs/>
          <w:sz w:val="36"/>
          <w:szCs w:val="36"/>
          <w:lang w:eastAsia="zh-CN"/>
        </w:rPr>
        <w:drawing>
          <wp:anchor distT="0" distB="0" distL="114300" distR="114300" simplePos="0" relativeHeight="251684864" behindDoc="0" locked="0" layoutInCell="1" allowOverlap="1">
            <wp:simplePos x="0" y="0"/>
            <wp:positionH relativeFrom="column">
              <wp:posOffset>78105</wp:posOffset>
            </wp:positionH>
            <wp:positionV relativeFrom="paragraph">
              <wp:posOffset>187960</wp:posOffset>
            </wp:positionV>
            <wp:extent cx="5229225" cy="7572375"/>
            <wp:effectExtent l="0" t="0" r="9525" b="9525"/>
            <wp:wrapNone/>
            <wp:docPr id="37" name="图片 37" descr="微信截图_2023103113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微信截图_20231031131729"/>
                    <pic:cNvPicPr>
                      <a:picLocks noChangeAspect="1"/>
                    </pic:cNvPicPr>
                  </pic:nvPicPr>
                  <pic:blipFill>
                    <a:blip r:embed="rId42"/>
                    <a:stretch>
                      <a:fillRect/>
                    </a:stretch>
                  </pic:blipFill>
                  <pic:spPr>
                    <a:xfrm>
                      <a:off x="0" y="0"/>
                      <a:ext cx="5229225" cy="7572375"/>
                    </a:xfrm>
                    <a:prstGeom prst="rect">
                      <a:avLst/>
                    </a:prstGeom>
                  </pic:spPr>
                </pic:pic>
              </a:graphicData>
            </a:graphic>
          </wp:anchor>
        </w:drawing>
      </w: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r>
        <w:rPr>
          <w:rFonts w:hint="eastAsia" w:ascii="仿宋" w:hAnsi="仿宋" w:eastAsia="仿宋" w:cs="仿宋"/>
          <w:b/>
          <w:bCs/>
          <w:sz w:val="36"/>
          <w:szCs w:val="36"/>
          <w:lang w:eastAsia="zh-CN"/>
        </w:rPr>
        <w:drawing>
          <wp:anchor distT="0" distB="0" distL="114300" distR="114300" simplePos="0" relativeHeight="251685888" behindDoc="0" locked="0" layoutInCell="1" allowOverlap="1">
            <wp:simplePos x="0" y="0"/>
            <wp:positionH relativeFrom="column">
              <wp:posOffset>-24765</wp:posOffset>
            </wp:positionH>
            <wp:positionV relativeFrom="paragraph">
              <wp:posOffset>279400</wp:posOffset>
            </wp:positionV>
            <wp:extent cx="5270500" cy="7891780"/>
            <wp:effectExtent l="0" t="0" r="6350" b="13970"/>
            <wp:wrapNone/>
            <wp:docPr id="38" name="图片 38" descr="微信截图_2023103113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微信截图_20231031131748"/>
                    <pic:cNvPicPr>
                      <a:picLocks noChangeAspect="1"/>
                    </pic:cNvPicPr>
                  </pic:nvPicPr>
                  <pic:blipFill>
                    <a:blip r:embed="rId43"/>
                    <a:stretch>
                      <a:fillRect/>
                    </a:stretch>
                  </pic:blipFill>
                  <pic:spPr>
                    <a:xfrm>
                      <a:off x="0" y="0"/>
                      <a:ext cx="5270500" cy="7891780"/>
                    </a:xfrm>
                    <a:prstGeom prst="rect">
                      <a:avLst/>
                    </a:prstGeom>
                  </pic:spPr>
                </pic:pic>
              </a:graphicData>
            </a:graphic>
          </wp:anchor>
        </w:drawing>
      </w: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r>
        <w:rPr>
          <w:rFonts w:hint="eastAsia" w:ascii="仿宋" w:hAnsi="仿宋" w:eastAsia="仿宋" w:cs="仿宋"/>
          <w:b/>
          <w:bCs/>
          <w:sz w:val="36"/>
          <w:szCs w:val="36"/>
          <w:lang w:eastAsia="zh-CN"/>
        </w:rPr>
        <w:drawing>
          <wp:anchor distT="0" distB="0" distL="114300" distR="114300" simplePos="0" relativeHeight="251686912" behindDoc="0" locked="0" layoutInCell="1" allowOverlap="1">
            <wp:simplePos x="0" y="0"/>
            <wp:positionH relativeFrom="column">
              <wp:posOffset>170180</wp:posOffset>
            </wp:positionH>
            <wp:positionV relativeFrom="paragraph">
              <wp:posOffset>242570</wp:posOffset>
            </wp:positionV>
            <wp:extent cx="5048250" cy="7886700"/>
            <wp:effectExtent l="0" t="0" r="0" b="0"/>
            <wp:wrapNone/>
            <wp:docPr id="39" name="图片 39" descr="微信截图_2023103113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截图_20231031131811"/>
                    <pic:cNvPicPr>
                      <a:picLocks noChangeAspect="1"/>
                    </pic:cNvPicPr>
                  </pic:nvPicPr>
                  <pic:blipFill>
                    <a:blip r:embed="rId44"/>
                    <a:stretch>
                      <a:fillRect/>
                    </a:stretch>
                  </pic:blipFill>
                  <pic:spPr>
                    <a:xfrm>
                      <a:off x="0" y="0"/>
                      <a:ext cx="5048250" cy="7886700"/>
                    </a:xfrm>
                    <a:prstGeom prst="rect">
                      <a:avLst/>
                    </a:prstGeom>
                  </pic:spPr>
                </pic:pic>
              </a:graphicData>
            </a:graphic>
          </wp:anchor>
        </w:drawing>
      </w: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r>
        <w:rPr>
          <w:rFonts w:hint="eastAsia" w:ascii="仿宋" w:hAnsi="仿宋" w:eastAsia="仿宋" w:cs="仿宋"/>
          <w:b/>
          <w:bCs/>
          <w:sz w:val="36"/>
          <w:szCs w:val="36"/>
          <w:lang w:eastAsia="zh-CN"/>
        </w:rPr>
        <w:drawing>
          <wp:anchor distT="0" distB="0" distL="114300" distR="114300" simplePos="0" relativeHeight="251687936" behindDoc="0" locked="0" layoutInCell="1" allowOverlap="1">
            <wp:simplePos x="0" y="0"/>
            <wp:positionH relativeFrom="column">
              <wp:posOffset>170180</wp:posOffset>
            </wp:positionH>
            <wp:positionV relativeFrom="paragraph">
              <wp:posOffset>168275</wp:posOffset>
            </wp:positionV>
            <wp:extent cx="4968875" cy="7265035"/>
            <wp:effectExtent l="0" t="0" r="3175" b="12065"/>
            <wp:wrapNone/>
            <wp:docPr id="40" name="图片 40" descr="微信截图_2023103113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截图_20231031131958"/>
                    <pic:cNvPicPr>
                      <a:picLocks noChangeAspect="1"/>
                    </pic:cNvPicPr>
                  </pic:nvPicPr>
                  <pic:blipFill>
                    <a:blip r:embed="rId45"/>
                    <a:stretch>
                      <a:fillRect/>
                    </a:stretch>
                  </pic:blipFill>
                  <pic:spPr>
                    <a:xfrm>
                      <a:off x="0" y="0"/>
                      <a:ext cx="4968875" cy="7265035"/>
                    </a:xfrm>
                    <a:prstGeom prst="rect">
                      <a:avLst/>
                    </a:prstGeom>
                  </pic:spPr>
                </pic:pic>
              </a:graphicData>
            </a:graphic>
          </wp:anchor>
        </w:drawing>
      </w: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eastAsia="zh-CN"/>
        </w:rPr>
      </w:pPr>
    </w:p>
    <w:p>
      <w:pPr>
        <w:pStyle w:val="13"/>
        <w:rPr>
          <w:rFonts w:hint="default" w:eastAsia="宋体"/>
          <w:sz w:val="28"/>
          <w:szCs w:val="28"/>
          <w:lang w:val="en-US" w:eastAsia="zh-CN"/>
        </w:rPr>
      </w:pPr>
      <w:r>
        <w:rPr>
          <w:rFonts w:hint="eastAsia" w:ascii="宋体" w:hAnsi="宋体" w:eastAsia="宋体" w:cs="宋体"/>
          <w:b/>
          <w:bCs/>
          <w:kern w:val="44"/>
          <w:sz w:val="28"/>
          <w:szCs w:val="28"/>
          <w:lang w:val="en-US" w:eastAsia="zh-CN"/>
        </w:rPr>
        <w:t>附件</w:t>
      </w:r>
      <w:r>
        <w:rPr>
          <w:rFonts w:hint="eastAsia" w:hAnsi="宋体" w:cs="宋体"/>
          <w:b/>
          <w:bCs/>
          <w:kern w:val="44"/>
          <w:sz w:val="28"/>
          <w:szCs w:val="28"/>
          <w:lang w:val="en-US" w:eastAsia="zh-CN"/>
        </w:rPr>
        <w:t>十</w:t>
      </w:r>
      <w:r>
        <w:rPr>
          <w:rFonts w:hint="eastAsia" w:ascii="宋体" w:hAnsi="宋体" w:eastAsia="宋体" w:cs="宋体"/>
          <w:b/>
          <w:bCs/>
          <w:kern w:val="44"/>
          <w:sz w:val="28"/>
          <w:szCs w:val="28"/>
          <w:lang w:val="en-US" w:eastAsia="zh-CN"/>
        </w:rPr>
        <w:t>、</w:t>
      </w:r>
      <w:r>
        <w:rPr>
          <w:rFonts w:hint="eastAsia" w:hAnsi="宋体" w:cs="宋体"/>
          <w:b/>
          <w:bCs/>
          <w:kern w:val="44"/>
          <w:sz w:val="28"/>
          <w:szCs w:val="28"/>
          <w:lang w:val="en-US" w:eastAsia="zh-CN"/>
        </w:rPr>
        <w:t>管理制度</w:t>
      </w:r>
    </w:p>
    <w:p>
      <w:pPr>
        <w:pStyle w:val="28"/>
        <w:ind w:left="0" w:leftChars="0" w:firstLine="723" w:firstLineChars="200"/>
        <w:jc w:val="both"/>
        <w:rPr>
          <w:rFonts w:hint="eastAsia" w:ascii="仿宋" w:hAnsi="仿宋" w:eastAsia="仿宋" w:cs="仿宋"/>
          <w:b/>
          <w:bCs/>
          <w:sz w:val="36"/>
          <w:szCs w:val="36"/>
          <w:lang w:eastAsia="zh-CN"/>
        </w:rPr>
      </w:pPr>
    </w:p>
    <w:p>
      <w:pPr>
        <w:pStyle w:val="28"/>
        <w:ind w:left="0" w:leftChars="0" w:firstLine="723" w:firstLineChars="200"/>
        <w:jc w:val="both"/>
        <w:rPr>
          <w:rFonts w:hint="eastAsia" w:ascii="仿宋" w:hAnsi="仿宋" w:eastAsia="仿宋" w:cs="仿宋"/>
          <w:b/>
          <w:bCs/>
          <w:sz w:val="36"/>
          <w:szCs w:val="36"/>
          <w:lang w:val="en-US" w:eastAsia="zh-CN"/>
        </w:rPr>
      </w:pPr>
      <w:r>
        <w:rPr>
          <w:rFonts w:hint="eastAsia" w:ascii="仿宋" w:hAnsi="仿宋" w:eastAsia="仿宋" w:cs="仿宋"/>
          <w:b/>
          <w:bCs/>
          <w:sz w:val="36"/>
          <w:szCs w:val="36"/>
          <w:lang w:eastAsia="zh-CN"/>
        </w:rPr>
        <w:t>衢江区铭泽公司</w:t>
      </w:r>
      <w:r>
        <w:rPr>
          <w:rFonts w:hint="eastAsia" w:ascii="仿宋" w:hAnsi="仿宋" w:eastAsia="仿宋" w:cs="仿宋"/>
          <w:b/>
          <w:bCs/>
          <w:sz w:val="36"/>
          <w:szCs w:val="36"/>
          <w:lang w:val="en-US" w:eastAsia="zh-CN"/>
        </w:rPr>
        <w:t>肉牛养殖场管理制度</w:t>
      </w:r>
    </w:p>
    <w:p>
      <w:pPr>
        <w:pStyle w:val="28"/>
        <w:spacing w:line="360" w:lineRule="auto"/>
        <w:rPr>
          <w:rFonts w:hint="eastAsia" w:ascii="仿宋" w:hAnsi="仿宋" w:eastAsia="仿宋" w:cs="仿宋"/>
          <w:sz w:val="28"/>
          <w:szCs w:val="28"/>
          <w:lang w:val="en-US" w:eastAsia="zh-CN"/>
        </w:rPr>
      </w:pPr>
    </w:p>
    <w:p>
      <w:pPr>
        <w:pStyle w:val="28"/>
        <w:spacing w:line="360" w:lineRule="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为了规范养殖场的工作秩序，节约成本，提高效益，实施科学、规范、制度化管理，明确员工的权力和职责，特制定本制度，请各位员工遵照执行。</w:t>
      </w:r>
    </w:p>
    <w:p>
      <w:pPr>
        <w:pStyle w:val="28"/>
        <w:numPr>
          <w:ilvl w:val="0"/>
          <w:numId w:val="0"/>
        </w:numPr>
        <w:spacing w:line="360" w:lineRule="auto"/>
        <w:outlineLvl w:val="1"/>
        <w:rPr>
          <w:rFonts w:hint="eastAsia" w:ascii="仿宋" w:hAnsi="仿宋" w:eastAsia="仿宋" w:cs="仿宋"/>
          <w:b/>
          <w:bCs/>
          <w:sz w:val="28"/>
          <w:szCs w:val="28"/>
          <w:lang w:val="en-US" w:eastAsia="zh-CN"/>
        </w:rPr>
      </w:pPr>
      <w:bookmarkStart w:id="221" w:name="_Toc27182"/>
      <w:bookmarkStart w:id="222" w:name="_Toc8467"/>
      <w:r>
        <w:rPr>
          <w:rFonts w:hint="eastAsia" w:ascii="仿宋" w:hAnsi="仿宋" w:cs="仿宋"/>
          <w:b/>
          <w:bCs/>
          <w:sz w:val="28"/>
          <w:szCs w:val="28"/>
          <w:lang w:val="en-US" w:eastAsia="zh-CN"/>
        </w:rPr>
        <w:t>一、</w:t>
      </w:r>
      <w:r>
        <w:rPr>
          <w:rFonts w:hint="eastAsia" w:ascii="仿宋" w:hAnsi="仿宋" w:eastAsia="仿宋" w:cs="仿宋"/>
          <w:b/>
          <w:bCs/>
          <w:sz w:val="28"/>
          <w:szCs w:val="28"/>
          <w:lang w:val="en-US" w:eastAsia="zh-CN"/>
        </w:rPr>
        <w:t>职责规范</w:t>
      </w:r>
      <w:r>
        <w:rPr>
          <w:rFonts w:hint="eastAsia" w:ascii="仿宋" w:hAnsi="仿宋" w:cs="仿宋"/>
          <w:b/>
          <w:bCs/>
          <w:sz w:val="28"/>
          <w:szCs w:val="28"/>
          <w:lang w:val="en-US" w:eastAsia="zh-CN"/>
        </w:rPr>
        <w:t>制度</w:t>
      </w:r>
      <w:bookmarkEnd w:id="221"/>
      <w:bookmarkEnd w:id="222"/>
    </w:p>
    <w:p>
      <w:pPr>
        <w:pStyle w:val="28"/>
        <w:numPr>
          <w:ilvl w:val="0"/>
          <w:numId w:val="0"/>
        </w:numPr>
        <w:spacing w:line="360" w:lineRule="auto"/>
        <w:ind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（一）场长</w:t>
      </w:r>
    </w:p>
    <w:p>
      <w:pPr>
        <w:pStyle w:val="28"/>
        <w:numPr>
          <w:ilvl w:val="0"/>
          <w:numId w:val="7"/>
        </w:numPr>
        <w:spacing w:line="360" w:lineRule="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负责养殖场全面工作，合理安排各岗位员工，有效地组织与管理生产。</w:t>
      </w:r>
    </w:p>
    <w:p>
      <w:pPr>
        <w:pStyle w:val="28"/>
        <w:numPr>
          <w:ilvl w:val="0"/>
          <w:numId w:val="7"/>
        </w:numPr>
        <w:spacing w:line="360" w:lineRule="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负责监督执行养殖场各项规章制度、操作规程和管理规范。</w:t>
      </w:r>
    </w:p>
    <w:p>
      <w:pPr>
        <w:pStyle w:val="28"/>
        <w:numPr>
          <w:ilvl w:val="0"/>
          <w:numId w:val="7"/>
        </w:numPr>
        <w:spacing w:line="360" w:lineRule="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致力于增产节约，努力提高养殖场的经济效益。</w:t>
      </w:r>
    </w:p>
    <w:p>
      <w:pPr>
        <w:pStyle w:val="28"/>
        <w:numPr>
          <w:ilvl w:val="0"/>
          <w:numId w:val="7"/>
        </w:numPr>
        <w:spacing w:line="360" w:lineRule="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安全生产</w:t>
      </w:r>
    </w:p>
    <w:p>
      <w:pPr>
        <w:pStyle w:val="28"/>
        <w:numPr>
          <w:ilvl w:val="0"/>
          <w:numId w:val="8"/>
        </w:numPr>
        <w:spacing w:line="360" w:lineRule="auto"/>
        <w:ind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技术员</w:t>
      </w:r>
    </w:p>
    <w:p>
      <w:pPr>
        <w:pStyle w:val="28"/>
        <w:numPr>
          <w:ilvl w:val="0"/>
          <w:numId w:val="9"/>
        </w:numPr>
        <w:spacing w:line="360" w:lineRule="auto"/>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参与养牛场全面的生产技术管理，熟知牛场管理各环节的技术规范。</w:t>
      </w:r>
    </w:p>
    <w:p>
      <w:pPr>
        <w:pStyle w:val="28"/>
        <w:numPr>
          <w:ilvl w:val="0"/>
          <w:numId w:val="9"/>
        </w:numPr>
        <w:spacing w:line="360" w:lineRule="auto"/>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负责各群牛的饲养管理，参考季节等变化，合理、及时地调整饲养方案、饲料配给。</w:t>
      </w:r>
    </w:p>
    <w:p>
      <w:pPr>
        <w:pStyle w:val="28"/>
        <w:numPr>
          <w:ilvl w:val="0"/>
          <w:numId w:val="9"/>
        </w:numPr>
        <w:spacing w:line="360" w:lineRule="auto"/>
        <w:ind w:firstLine="560" w:firstLineChars="200"/>
        <w:outlineLvl w:val="0"/>
        <w:rPr>
          <w:rFonts w:hint="eastAsia" w:ascii="仿宋" w:hAnsi="仿宋" w:eastAsia="仿宋" w:cs="仿宋"/>
          <w:sz w:val="28"/>
          <w:szCs w:val="28"/>
          <w:lang w:val="en-US" w:eastAsia="zh-CN"/>
        </w:rPr>
      </w:pPr>
      <w:bookmarkStart w:id="223" w:name="_Toc7017"/>
      <w:bookmarkStart w:id="224" w:name="_Toc15285"/>
      <w:r>
        <w:rPr>
          <w:rFonts w:hint="eastAsia" w:ascii="仿宋" w:hAnsi="仿宋" w:eastAsia="仿宋" w:cs="仿宋"/>
          <w:sz w:val="28"/>
          <w:szCs w:val="28"/>
          <w:lang w:val="en-US" w:eastAsia="zh-CN"/>
        </w:rPr>
        <w:t>负责各种饲料的质量检测与控制。</w:t>
      </w:r>
      <w:bookmarkEnd w:id="223"/>
      <w:bookmarkEnd w:id="224"/>
    </w:p>
    <w:p>
      <w:pPr>
        <w:pStyle w:val="28"/>
        <w:numPr>
          <w:ilvl w:val="0"/>
          <w:numId w:val="9"/>
        </w:numPr>
        <w:spacing w:line="360" w:lineRule="auto"/>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熟悉牛场所有设备操作规程，并指导和监督操作人员的正确使用。</w:t>
      </w:r>
    </w:p>
    <w:p>
      <w:pPr>
        <w:pStyle w:val="28"/>
        <w:numPr>
          <w:ilvl w:val="0"/>
          <w:numId w:val="9"/>
        </w:numPr>
        <w:spacing w:line="360" w:lineRule="auto"/>
        <w:ind w:firstLine="560" w:firstLineChars="200"/>
        <w:outlineLvl w:val="0"/>
        <w:rPr>
          <w:rFonts w:hint="eastAsia" w:ascii="仿宋" w:hAnsi="仿宋" w:eastAsia="仿宋" w:cs="仿宋"/>
          <w:sz w:val="28"/>
          <w:szCs w:val="28"/>
          <w:lang w:val="en-US" w:eastAsia="zh-CN"/>
        </w:rPr>
      </w:pPr>
      <w:bookmarkStart w:id="225" w:name="_Toc5165"/>
      <w:bookmarkStart w:id="226" w:name="_Toc5955"/>
      <w:r>
        <w:rPr>
          <w:rFonts w:hint="eastAsia" w:ascii="仿宋" w:hAnsi="仿宋" w:eastAsia="仿宋" w:cs="仿宋"/>
          <w:sz w:val="28"/>
          <w:szCs w:val="28"/>
          <w:lang w:val="en-US" w:eastAsia="zh-CN"/>
        </w:rPr>
        <w:t>熟悉各类疾病的预防知识，根据情况进行疾病的预防。</w:t>
      </w:r>
      <w:bookmarkEnd w:id="225"/>
      <w:bookmarkEnd w:id="226"/>
    </w:p>
    <w:p>
      <w:pPr>
        <w:pStyle w:val="28"/>
        <w:numPr>
          <w:ilvl w:val="0"/>
          <w:numId w:val="8"/>
        </w:numPr>
        <w:spacing w:line="360" w:lineRule="auto"/>
        <w:ind w:left="0" w:leftChars="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兽医</w:t>
      </w:r>
    </w:p>
    <w:p>
      <w:pPr>
        <w:pStyle w:val="28"/>
        <w:numPr>
          <w:ilvl w:val="0"/>
          <w:numId w:val="10"/>
        </w:numPr>
        <w:spacing w:line="360" w:lineRule="auto"/>
        <w:ind w:left="480" w:leftChars="0" w:firstLine="0" w:firstLineChars="0"/>
        <w:outlineLvl w:val="0"/>
        <w:rPr>
          <w:rFonts w:hint="eastAsia" w:ascii="仿宋" w:hAnsi="仿宋" w:eastAsia="仿宋" w:cs="仿宋"/>
          <w:sz w:val="28"/>
          <w:szCs w:val="28"/>
          <w:lang w:val="en-US" w:eastAsia="zh-CN"/>
        </w:rPr>
      </w:pPr>
      <w:bookmarkStart w:id="227" w:name="_Toc12749"/>
      <w:bookmarkStart w:id="228" w:name="_Toc13265"/>
      <w:r>
        <w:rPr>
          <w:rFonts w:hint="eastAsia" w:ascii="仿宋" w:hAnsi="仿宋" w:eastAsia="仿宋" w:cs="仿宋"/>
          <w:sz w:val="28"/>
          <w:szCs w:val="28"/>
          <w:lang w:val="en-US" w:eastAsia="zh-CN"/>
        </w:rPr>
        <w:t>负责牛群卫生保健、疾病控制与治疗，贯彻执行防疫制度。</w:t>
      </w:r>
      <w:bookmarkEnd w:id="227"/>
      <w:bookmarkEnd w:id="228"/>
    </w:p>
    <w:p>
      <w:pPr>
        <w:pStyle w:val="28"/>
        <w:numPr>
          <w:ilvl w:val="0"/>
          <w:numId w:val="10"/>
        </w:numPr>
        <w:spacing w:line="360" w:lineRule="auto"/>
        <w:ind w:left="480" w:leftChars="0" w:firstLine="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认真细致地进行疾病诊治，做好病情及处方记录。特殊病例要单独建档。</w:t>
      </w:r>
    </w:p>
    <w:p>
      <w:pPr>
        <w:pStyle w:val="28"/>
        <w:numPr>
          <w:ilvl w:val="0"/>
          <w:numId w:val="10"/>
        </w:numPr>
        <w:spacing w:line="360" w:lineRule="auto"/>
        <w:ind w:left="480" w:leftChars="0" w:firstLine="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针对卫生防疫问题，要及时发现并提出合理化建议，配合畜牧技术人员，共同搞好饲养管理，贯彻以防为主，防重于治的方针。</w:t>
      </w:r>
    </w:p>
    <w:p>
      <w:pPr>
        <w:pStyle w:val="28"/>
        <w:numPr>
          <w:ilvl w:val="0"/>
          <w:numId w:val="8"/>
        </w:numPr>
        <w:spacing w:line="360" w:lineRule="auto"/>
        <w:ind w:left="0" w:leftChars="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饲料工</w:t>
      </w:r>
    </w:p>
    <w:p>
      <w:pPr>
        <w:pStyle w:val="28"/>
        <w:numPr>
          <w:ilvl w:val="0"/>
          <w:numId w:val="11"/>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严格按照饲料配方配合精饲料，饲料原料、成品料要按照不同品种分别摆放整齐，便于搬运和清点。</w:t>
      </w:r>
    </w:p>
    <w:p>
      <w:pPr>
        <w:pStyle w:val="28"/>
        <w:numPr>
          <w:ilvl w:val="0"/>
          <w:numId w:val="11"/>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严格按照操作规程操作各类饲料设备，确保安全生产。</w:t>
      </w:r>
    </w:p>
    <w:p>
      <w:pPr>
        <w:pStyle w:val="28"/>
        <w:numPr>
          <w:ilvl w:val="0"/>
          <w:numId w:val="11"/>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运送或加工饲料时，注意捡出异物和发霉变质的饲料。</w:t>
      </w:r>
    </w:p>
    <w:p>
      <w:pPr>
        <w:pStyle w:val="28"/>
        <w:numPr>
          <w:ilvl w:val="0"/>
          <w:numId w:val="11"/>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每月汇总各类饲料进出库情况，配合财务人员清点库存。</w:t>
      </w:r>
    </w:p>
    <w:p>
      <w:pPr>
        <w:pStyle w:val="28"/>
        <w:numPr>
          <w:ilvl w:val="0"/>
          <w:numId w:val="8"/>
        </w:numPr>
        <w:spacing w:line="360" w:lineRule="auto"/>
        <w:ind w:left="0" w:leftChars="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饲养员</w:t>
      </w:r>
    </w:p>
    <w:p>
      <w:pPr>
        <w:pStyle w:val="28"/>
        <w:numPr>
          <w:ilvl w:val="0"/>
          <w:numId w:val="12"/>
        </w:numPr>
        <w:spacing w:line="360" w:lineRule="auto"/>
        <w:ind w:leftChars="100" w:firstLine="280" w:firstLineChars="100"/>
        <w:outlineLvl w:val="0"/>
        <w:rPr>
          <w:rFonts w:hint="eastAsia" w:ascii="仿宋" w:hAnsi="仿宋" w:eastAsia="仿宋" w:cs="仿宋"/>
          <w:sz w:val="28"/>
          <w:szCs w:val="28"/>
          <w:lang w:val="en-US" w:eastAsia="zh-CN"/>
        </w:rPr>
      </w:pPr>
      <w:bookmarkStart w:id="229" w:name="_Toc31686"/>
      <w:bookmarkStart w:id="230" w:name="_Toc31048"/>
      <w:r>
        <w:rPr>
          <w:rFonts w:hint="eastAsia" w:ascii="仿宋" w:hAnsi="仿宋" w:eastAsia="仿宋" w:cs="仿宋"/>
          <w:sz w:val="28"/>
          <w:szCs w:val="28"/>
          <w:lang w:val="en-US" w:eastAsia="zh-CN"/>
        </w:rPr>
        <w:t>保证肉牛充足的饮水供应，经常刷洗饮水槽，保证饮水清洁。</w:t>
      </w:r>
      <w:bookmarkEnd w:id="229"/>
      <w:bookmarkEnd w:id="230"/>
    </w:p>
    <w:p>
      <w:pPr>
        <w:pStyle w:val="28"/>
        <w:numPr>
          <w:ilvl w:val="0"/>
          <w:numId w:val="12"/>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保证喂足技术员安排的饲料给量，应先粗后精，以精带粗勤添少给，不堆槽，不空槽，不浪费饲料；饲喂时注意捡出饲料中的异物，不喂发霉变质、冰冻饲料，保证夜间饲草数量充足；饲料品种有改变时，应逐渐增加给量，一般在一周内达到正常给量，不可突然大量改变饲料品种。</w:t>
      </w:r>
    </w:p>
    <w:p>
      <w:pPr>
        <w:pStyle w:val="28"/>
        <w:numPr>
          <w:ilvl w:val="0"/>
          <w:numId w:val="12"/>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牛粪和杂物要及时清理干净，牛舍要保持干燥、清洁卫生，夏不存水，冬不结冰，上下槽不急赶，根据季节定期刷洗牛体。</w:t>
      </w:r>
    </w:p>
    <w:p>
      <w:pPr>
        <w:pStyle w:val="28"/>
        <w:numPr>
          <w:ilvl w:val="0"/>
          <w:numId w:val="12"/>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熟悉每头牛的基本情况，注意观察牛群采食、粪便等情况，发现异常及时向兽医反映。</w:t>
      </w:r>
    </w:p>
    <w:p>
      <w:pPr>
        <w:pStyle w:val="28"/>
        <w:numPr>
          <w:ilvl w:val="0"/>
          <w:numId w:val="12"/>
        </w:numPr>
        <w:spacing w:line="360" w:lineRule="auto"/>
        <w:ind w:leftChars="100" w:firstLine="280" w:firstLineChars="100"/>
        <w:outlineLvl w:val="0"/>
        <w:rPr>
          <w:rFonts w:hint="eastAsia" w:ascii="仿宋" w:hAnsi="仿宋" w:eastAsia="仿宋" w:cs="仿宋"/>
          <w:sz w:val="28"/>
          <w:szCs w:val="28"/>
          <w:lang w:val="en-US" w:eastAsia="zh-CN"/>
        </w:rPr>
      </w:pPr>
      <w:bookmarkStart w:id="231" w:name="_Toc16753"/>
      <w:bookmarkStart w:id="232" w:name="_Toc8505"/>
      <w:r>
        <w:rPr>
          <w:rFonts w:hint="eastAsia" w:ascii="仿宋" w:hAnsi="仿宋" w:eastAsia="仿宋" w:cs="仿宋"/>
          <w:sz w:val="28"/>
          <w:szCs w:val="28"/>
          <w:lang w:val="en-US" w:eastAsia="zh-CN"/>
        </w:rPr>
        <w:t>配合技术人员做好检疫、医疗、配种、消毒等工作，</w:t>
      </w:r>
      <w:bookmarkEnd w:id="231"/>
      <w:bookmarkEnd w:id="232"/>
    </w:p>
    <w:p>
      <w:pPr>
        <w:pStyle w:val="28"/>
        <w:numPr>
          <w:ilvl w:val="0"/>
          <w:numId w:val="8"/>
        </w:numPr>
        <w:spacing w:line="360" w:lineRule="auto"/>
        <w:ind w:left="0" w:leftChars="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核算员（兼保管员）</w:t>
      </w:r>
    </w:p>
    <w:p>
      <w:pPr>
        <w:pStyle w:val="28"/>
        <w:numPr>
          <w:ilvl w:val="0"/>
          <w:numId w:val="13"/>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严格执行场内财务制度。</w:t>
      </w:r>
    </w:p>
    <w:p>
      <w:pPr>
        <w:pStyle w:val="28"/>
        <w:numPr>
          <w:ilvl w:val="0"/>
          <w:numId w:val="13"/>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进出物资要严格质量、数量，各项报表要及时准确。</w:t>
      </w:r>
    </w:p>
    <w:p>
      <w:pPr>
        <w:pStyle w:val="28"/>
        <w:numPr>
          <w:ilvl w:val="0"/>
          <w:numId w:val="13"/>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妥善保管和调用物资，先进先出，避免霉坏、变质及非正常损耗，注意防火、防盗。</w:t>
      </w:r>
    </w:p>
    <w:p>
      <w:pPr>
        <w:pStyle w:val="28"/>
        <w:numPr>
          <w:ilvl w:val="0"/>
          <w:numId w:val="13"/>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如实记录各类饲料的进出库及饲喂情况，及时核算肉牛的饲养成本。</w:t>
      </w:r>
    </w:p>
    <w:p>
      <w:pPr>
        <w:pStyle w:val="28"/>
        <w:numPr>
          <w:ilvl w:val="0"/>
          <w:numId w:val="13"/>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每月底根据物资消耗量适当库存，按实际需要做好下月的采购计划。</w:t>
      </w:r>
    </w:p>
    <w:p>
      <w:pPr>
        <w:pStyle w:val="28"/>
        <w:numPr>
          <w:ilvl w:val="0"/>
          <w:numId w:val="8"/>
        </w:numPr>
        <w:spacing w:line="360" w:lineRule="auto"/>
        <w:ind w:left="0" w:leftChars="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电工、维修工</w:t>
      </w:r>
    </w:p>
    <w:p>
      <w:pPr>
        <w:pStyle w:val="28"/>
        <w:numPr>
          <w:ilvl w:val="0"/>
          <w:numId w:val="14"/>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严格按操作规程安全操作，不违章作业。</w:t>
      </w:r>
    </w:p>
    <w:p>
      <w:pPr>
        <w:pStyle w:val="28"/>
        <w:numPr>
          <w:ilvl w:val="0"/>
          <w:numId w:val="14"/>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及时处理各种紧急故障，如停水、停电。</w:t>
      </w:r>
    </w:p>
    <w:p>
      <w:pPr>
        <w:pStyle w:val="28"/>
        <w:numPr>
          <w:ilvl w:val="0"/>
          <w:numId w:val="14"/>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除工作时间外，因场内紧急工作需要随叫随到。</w:t>
      </w:r>
    </w:p>
    <w:p>
      <w:pPr>
        <w:pStyle w:val="28"/>
        <w:numPr>
          <w:ilvl w:val="0"/>
          <w:numId w:val="14"/>
        </w:numPr>
        <w:spacing w:line="360" w:lineRule="auto"/>
        <w:ind w:leftChars="100" w:firstLine="280" w:firstLineChars="10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定时检修维护各种机械设备，保证设备的完好性，严禁杜绝设备的跑、冒、滴、漏。</w:t>
      </w:r>
    </w:p>
    <w:p>
      <w:pPr>
        <w:pStyle w:val="28"/>
        <w:widowControl w:val="0"/>
        <w:numPr>
          <w:ilvl w:val="0"/>
          <w:numId w:val="0"/>
        </w:numPr>
        <w:spacing w:line="360" w:lineRule="atLeast"/>
        <w:ind w:firstLine="241" w:firstLineChars="100"/>
        <w:jc w:val="both"/>
        <w:textAlignment w:val="baseline"/>
        <w:outlineLvl w:val="1"/>
        <w:rPr>
          <w:rFonts w:hint="eastAsia"/>
          <w:b/>
          <w:bCs/>
          <w:lang w:val="en-US" w:eastAsia="zh-CN"/>
        </w:rPr>
      </w:pPr>
      <w:bookmarkStart w:id="233" w:name="_Toc19989"/>
      <w:bookmarkStart w:id="234" w:name="_Toc30302"/>
      <w:r>
        <w:rPr>
          <w:rFonts w:hint="eastAsia" w:asciiTheme="minorEastAsia" w:hAnsiTheme="minorEastAsia" w:eastAsiaTheme="minorEastAsia" w:cstheme="minorEastAsia"/>
          <w:b/>
          <w:bCs/>
          <w:sz w:val="24"/>
          <w:szCs w:val="24"/>
          <w:lang w:val="en-US" w:eastAsia="zh-CN"/>
        </w:rPr>
        <w:t>二、</w:t>
      </w:r>
      <w:r>
        <w:rPr>
          <w:rFonts w:hint="eastAsia" w:ascii="仿宋" w:hAnsi="仿宋" w:eastAsia="仿宋" w:cs="仿宋"/>
          <w:b/>
          <w:bCs/>
          <w:sz w:val="28"/>
          <w:szCs w:val="28"/>
          <w:lang w:val="en-US" w:eastAsia="zh-CN"/>
        </w:rPr>
        <w:t>肉牛养殖场无害化处理制度</w:t>
      </w:r>
      <w:bookmarkEnd w:id="233"/>
      <w:bookmarkEnd w:id="234"/>
    </w:p>
    <w:p>
      <w:pPr>
        <w:numPr>
          <w:ilvl w:val="0"/>
          <w:numId w:val="0"/>
        </w:numPr>
        <w:rPr>
          <w:rFonts w:hint="eastAsia" w:ascii="仿宋" w:hAnsi="仿宋" w:eastAsia="仿宋" w:cs="仿宋"/>
          <w:sz w:val="28"/>
          <w:szCs w:val="28"/>
          <w:lang w:val="en-US" w:eastAsia="zh-CN"/>
        </w:rPr>
      </w:pPr>
      <w:r>
        <w:rPr>
          <w:rFonts w:hint="eastAsia" w:ascii="仿宋" w:hAnsi="仿宋" w:cs="仿宋"/>
          <w:sz w:val="28"/>
          <w:szCs w:val="28"/>
          <w:lang w:val="en-US" w:eastAsia="zh-CN"/>
        </w:rPr>
        <w:t>（一）</w:t>
      </w:r>
      <w:r>
        <w:rPr>
          <w:rFonts w:hint="eastAsia" w:ascii="仿宋" w:hAnsi="仿宋" w:eastAsia="仿宋" w:cs="仿宋"/>
          <w:sz w:val="28"/>
          <w:szCs w:val="28"/>
          <w:lang w:val="en-US" w:eastAsia="zh-CN"/>
        </w:rPr>
        <w:t>为加强本场无害化处理管理，有效防控重大动物疫病发生和蔓延，特制定本制度。</w:t>
      </w:r>
    </w:p>
    <w:p>
      <w:pPr>
        <w:numPr>
          <w:ilvl w:val="0"/>
          <w:numId w:val="0"/>
        </w:numPr>
        <w:rPr>
          <w:rFonts w:hint="eastAsia" w:ascii="仿宋" w:hAnsi="仿宋" w:eastAsia="仿宋" w:cs="仿宋"/>
          <w:sz w:val="28"/>
          <w:szCs w:val="28"/>
          <w:lang w:val="en-US" w:eastAsia="zh-CN"/>
        </w:rPr>
      </w:pPr>
      <w:r>
        <w:rPr>
          <w:rFonts w:hint="eastAsia" w:ascii="仿宋" w:hAnsi="仿宋" w:cs="仿宋"/>
          <w:sz w:val="28"/>
          <w:szCs w:val="28"/>
          <w:lang w:val="en-US" w:eastAsia="zh-CN"/>
        </w:rPr>
        <w:t>（二）</w:t>
      </w:r>
      <w:r>
        <w:rPr>
          <w:rFonts w:hint="eastAsia" w:ascii="仿宋" w:hAnsi="仿宋" w:eastAsia="仿宋" w:cs="仿宋"/>
          <w:sz w:val="28"/>
          <w:szCs w:val="28"/>
          <w:lang w:val="en-US" w:eastAsia="zh-CN"/>
        </w:rPr>
        <w:t>本场兽医主管领导负责无害化处理检验和指导工作。兽医技术人员负责患病死亡和不明原因死亡动物及其产品无害化处理工作。喂养人员负责垫料、排泄物和被污染饲料等无害化处理工作。</w:t>
      </w:r>
    </w:p>
    <w:p>
      <w:pPr>
        <w:numPr>
          <w:ilvl w:val="0"/>
          <w:numId w:val="0"/>
        </w:numPr>
        <w:rPr>
          <w:rFonts w:hint="eastAsia" w:ascii="仿宋" w:hAnsi="仿宋" w:eastAsia="仿宋" w:cs="仿宋"/>
          <w:sz w:val="28"/>
          <w:szCs w:val="28"/>
          <w:lang w:val="en-US" w:eastAsia="zh-CN"/>
        </w:rPr>
      </w:pPr>
      <w:r>
        <w:rPr>
          <w:rFonts w:hint="eastAsia" w:ascii="仿宋" w:hAnsi="仿宋" w:cs="仿宋"/>
          <w:sz w:val="28"/>
          <w:szCs w:val="28"/>
          <w:lang w:val="en-US" w:eastAsia="zh-CN"/>
        </w:rPr>
        <w:t>（三）</w:t>
      </w:r>
      <w:r>
        <w:rPr>
          <w:rFonts w:hint="eastAsia" w:ascii="仿宋" w:hAnsi="仿宋" w:eastAsia="仿宋" w:cs="仿宋"/>
          <w:sz w:val="28"/>
          <w:szCs w:val="28"/>
          <w:lang w:val="en-US" w:eastAsia="zh-CN"/>
        </w:rPr>
        <w:t>场内设无害化处理间，配置无害化处理设备。</w:t>
      </w:r>
    </w:p>
    <w:p>
      <w:pPr>
        <w:numPr>
          <w:ilvl w:val="0"/>
          <w:numId w:val="0"/>
        </w:numPr>
        <w:rPr>
          <w:rFonts w:hint="eastAsia" w:ascii="仿宋" w:hAnsi="仿宋" w:eastAsia="仿宋" w:cs="仿宋"/>
          <w:sz w:val="28"/>
          <w:szCs w:val="28"/>
          <w:lang w:val="en-US" w:eastAsia="zh-CN"/>
        </w:rPr>
      </w:pPr>
      <w:r>
        <w:rPr>
          <w:rFonts w:hint="eastAsia" w:ascii="仿宋" w:hAnsi="仿宋" w:cs="仿宋"/>
          <w:sz w:val="28"/>
          <w:szCs w:val="28"/>
          <w:lang w:val="en-US" w:eastAsia="zh-CN"/>
        </w:rPr>
        <w:t>（四）</w:t>
      </w:r>
      <w:r>
        <w:rPr>
          <w:rFonts w:hint="eastAsia" w:ascii="仿宋" w:hAnsi="仿宋" w:eastAsia="仿宋" w:cs="仿宋"/>
          <w:sz w:val="28"/>
          <w:szCs w:val="28"/>
          <w:lang w:val="en-US" w:eastAsia="zh-CN"/>
        </w:rPr>
        <w:t>患病死亡和不明原因死亡动物及其产品根据《病害动物和病害动物产品生物安全处理规程》进行无害化处理，并做好统计。</w:t>
      </w:r>
    </w:p>
    <w:p>
      <w:pPr>
        <w:numPr>
          <w:ilvl w:val="0"/>
          <w:numId w:val="0"/>
        </w:numPr>
        <w:rPr>
          <w:rFonts w:hint="eastAsia" w:ascii="仿宋" w:hAnsi="仿宋" w:eastAsia="仿宋" w:cs="仿宋"/>
          <w:sz w:val="28"/>
          <w:szCs w:val="28"/>
          <w:lang w:val="en-US" w:eastAsia="zh-CN"/>
        </w:rPr>
      </w:pPr>
      <w:r>
        <w:rPr>
          <w:rFonts w:hint="eastAsia" w:ascii="仿宋" w:hAnsi="仿宋" w:cs="仿宋"/>
          <w:sz w:val="28"/>
          <w:szCs w:val="28"/>
          <w:lang w:val="en-US" w:eastAsia="zh-CN"/>
        </w:rPr>
        <w:t>（五）</w:t>
      </w:r>
      <w:r>
        <w:rPr>
          <w:rFonts w:hint="eastAsia" w:ascii="仿宋" w:hAnsi="仿宋" w:eastAsia="仿宋" w:cs="仿宋"/>
          <w:sz w:val="28"/>
          <w:szCs w:val="28"/>
          <w:lang w:val="en-US" w:eastAsia="zh-CN"/>
        </w:rPr>
        <w:t>患病死亡和不明原因死亡动物无害化处理在动物卫生监督机构监督下进行。</w:t>
      </w:r>
    </w:p>
    <w:p>
      <w:pPr>
        <w:numPr>
          <w:ilvl w:val="0"/>
          <w:numId w:val="0"/>
        </w:numPr>
        <w:rPr>
          <w:rFonts w:hint="eastAsia" w:ascii="仿宋" w:hAnsi="仿宋" w:eastAsia="仿宋" w:cs="仿宋"/>
          <w:sz w:val="28"/>
          <w:szCs w:val="28"/>
          <w:lang w:val="en-US" w:eastAsia="zh-CN"/>
        </w:rPr>
      </w:pPr>
      <w:r>
        <w:rPr>
          <w:rFonts w:hint="eastAsia" w:ascii="仿宋" w:hAnsi="仿宋" w:cs="仿宋"/>
          <w:sz w:val="28"/>
          <w:szCs w:val="28"/>
          <w:lang w:val="en-US" w:eastAsia="zh-CN"/>
        </w:rPr>
        <w:t>（六）</w:t>
      </w:r>
      <w:r>
        <w:rPr>
          <w:rFonts w:hint="eastAsia" w:ascii="仿宋" w:hAnsi="仿宋" w:eastAsia="仿宋" w:cs="仿宋"/>
          <w:sz w:val="28"/>
          <w:szCs w:val="28"/>
          <w:lang w:val="en-US" w:eastAsia="zh-CN"/>
        </w:rPr>
        <w:t>无害化方法以尽可能降低损失，保护环境，不污染空气、土壤和水源为标准，污水集中回收和净化，并达到国家排放标准。</w:t>
      </w:r>
    </w:p>
    <w:p>
      <w:pPr>
        <w:numPr>
          <w:ilvl w:val="0"/>
          <w:numId w:val="0"/>
        </w:numPr>
        <w:rPr>
          <w:rFonts w:hint="default"/>
          <w:lang w:val="en-US" w:eastAsia="zh-CN"/>
        </w:rPr>
      </w:pPr>
      <w:r>
        <w:rPr>
          <w:rFonts w:hint="eastAsia" w:ascii="仿宋" w:hAnsi="仿宋" w:cs="仿宋"/>
          <w:sz w:val="28"/>
          <w:szCs w:val="28"/>
          <w:lang w:val="en-US" w:eastAsia="zh-CN"/>
        </w:rPr>
        <w:t>（七）</w:t>
      </w:r>
      <w:r>
        <w:rPr>
          <w:rFonts w:hint="eastAsia" w:ascii="仿宋" w:hAnsi="仿宋" w:eastAsia="仿宋" w:cs="仿宋"/>
          <w:sz w:val="28"/>
          <w:szCs w:val="28"/>
          <w:lang w:val="en-US" w:eastAsia="zh-CN"/>
        </w:rPr>
        <w:t>发生重大动物疫情时，根据动物卫生监督部门技术要求做好无害化处理工作</w:t>
      </w:r>
      <w:r>
        <w:rPr>
          <w:rFonts w:hint="eastAsia"/>
          <w:lang w:val="en-US" w:eastAsia="zh-CN"/>
        </w:rPr>
        <w:t>。</w:t>
      </w:r>
    </w:p>
    <w:p>
      <w:pPr>
        <w:pStyle w:val="28"/>
        <w:widowControl w:val="0"/>
        <w:numPr>
          <w:ilvl w:val="0"/>
          <w:numId w:val="0"/>
        </w:numPr>
        <w:spacing w:line="360" w:lineRule="atLeast"/>
        <w:jc w:val="both"/>
        <w:textAlignment w:val="baseline"/>
        <w:outlineLvl w:val="1"/>
        <w:rPr>
          <w:rFonts w:hint="default"/>
          <w:b/>
          <w:bCs/>
          <w:lang w:val="en-US" w:eastAsia="zh-CN"/>
        </w:rPr>
      </w:pPr>
      <w:bookmarkStart w:id="235" w:name="_Toc11812"/>
      <w:bookmarkStart w:id="236" w:name="_Toc30210"/>
      <w:r>
        <w:rPr>
          <w:rFonts w:hint="eastAsia" w:asciiTheme="minorEastAsia" w:hAnsiTheme="minorEastAsia" w:eastAsiaTheme="minorEastAsia" w:cstheme="minorEastAsia"/>
          <w:b/>
          <w:bCs/>
          <w:sz w:val="24"/>
          <w:szCs w:val="24"/>
          <w:lang w:val="en-US" w:eastAsia="zh-CN"/>
        </w:rPr>
        <w:t>三、</w:t>
      </w:r>
      <w:r>
        <w:rPr>
          <w:rFonts w:hint="eastAsia" w:ascii="仿宋" w:hAnsi="仿宋" w:eastAsia="仿宋" w:cs="仿宋"/>
          <w:b/>
          <w:bCs/>
          <w:sz w:val="28"/>
          <w:szCs w:val="28"/>
          <w:lang w:val="en-US" w:eastAsia="zh-CN"/>
        </w:rPr>
        <w:t>卫生防疫管理制度</w:t>
      </w:r>
      <w:bookmarkEnd w:id="235"/>
      <w:bookmarkEnd w:id="236"/>
    </w:p>
    <w:p>
      <w:pPr>
        <w:spacing w:line="360" w:lineRule="auto"/>
        <w:ind w:left="0" w:leftChars="0" w:firstLine="0" w:firstLineChars="0"/>
        <w:rPr>
          <w:rFonts w:hint="eastAsia" w:ascii="仿宋" w:hAnsi="仿宋" w:eastAsia="仿宋" w:cs="仿宋"/>
          <w:sz w:val="28"/>
          <w:szCs w:val="28"/>
          <w:lang w:val="en-US" w:eastAsia="zh-CN"/>
        </w:rPr>
      </w:pPr>
      <w:r>
        <w:rPr>
          <w:rFonts w:hint="eastAsia" w:ascii="仿宋" w:hAnsi="仿宋" w:cs="仿宋"/>
          <w:sz w:val="28"/>
          <w:szCs w:val="28"/>
          <w:lang w:val="en-US" w:eastAsia="zh-CN"/>
        </w:rPr>
        <w:t>（一）</w:t>
      </w:r>
      <w:r>
        <w:rPr>
          <w:rFonts w:hint="eastAsia" w:ascii="仿宋" w:hAnsi="仿宋" w:eastAsia="仿宋" w:cs="仿宋"/>
          <w:sz w:val="28"/>
          <w:szCs w:val="28"/>
          <w:lang w:val="en-US" w:eastAsia="zh-CN"/>
        </w:rPr>
        <w:t>购进活牛必须来自非疫区健康群，并附有产地县级以上动物卫生监督机构出具有效检疫证实。进场前，须经兽医逐头实施临床检验，合格后方可进入隔离喂养区，隔离喂养7～10天后，由兽医技术人员观察确定无动物传染病临床症状并经驱虫，加施耳标后，方可转入育</w:t>
      </w:r>
    </w:p>
    <w:p>
      <w:pPr>
        <w:spacing w:line="360" w:lineRule="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肥区喂养。兽医技术人员对进入育肥区牛要逐头牛只建立档案。</w:t>
      </w:r>
    </w:p>
    <w:p>
      <w:pPr>
        <w:numPr>
          <w:ilvl w:val="0"/>
          <w:numId w:val="0"/>
        </w:numPr>
        <w:spacing w:line="360" w:lineRule="auto"/>
        <w:rPr>
          <w:rFonts w:hint="eastAsia" w:ascii="仿宋" w:hAnsi="仿宋" w:eastAsia="仿宋" w:cs="仿宋"/>
          <w:sz w:val="28"/>
          <w:szCs w:val="28"/>
          <w:lang w:val="en-US" w:eastAsia="zh-CN"/>
        </w:rPr>
      </w:pPr>
      <w:r>
        <w:rPr>
          <w:rFonts w:hint="eastAsia" w:ascii="仿宋" w:hAnsi="仿宋" w:cs="仿宋"/>
          <w:sz w:val="28"/>
          <w:szCs w:val="28"/>
          <w:lang w:val="en-US" w:eastAsia="zh-CN"/>
        </w:rPr>
        <w:t>（二）</w:t>
      </w:r>
      <w:r>
        <w:rPr>
          <w:rFonts w:hint="eastAsia" w:ascii="仿宋" w:hAnsi="仿宋" w:eastAsia="仿宋" w:cs="仿宋"/>
          <w:sz w:val="28"/>
          <w:szCs w:val="28"/>
          <w:lang w:val="en-US" w:eastAsia="zh-CN"/>
        </w:rPr>
        <w:t>育肥牛在育肥场必须经过喂养60天。出场前隔离检疫7天。</w:t>
      </w:r>
    </w:p>
    <w:p>
      <w:pPr>
        <w:numPr>
          <w:ilvl w:val="0"/>
          <w:numId w:val="0"/>
        </w:numPr>
        <w:spacing w:line="360" w:lineRule="auto"/>
        <w:rPr>
          <w:rFonts w:hint="eastAsia" w:ascii="仿宋" w:hAnsi="仿宋" w:eastAsia="仿宋" w:cs="仿宋"/>
          <w:sz w:val="28"/>
          <w:szCs w:val="28"/>
          <w:lang w:val="en-US" w:eastAsia="zh-CN"/>
        </w:rPr>
      </w:pPr>
      <w:r>
        <w:rPr>
          <w:rFonts w:hint="eastAsia" w:ascii="仿宋" w:hAnsi="仿宋" w:cs="仿宋"/>
          <w:sz w:val="28"/>
          <w:szCs w:val="28"/>
          <w:lang w:val="en-US" w:eastAsia="zh-CN"/>
        </w:rPr>
        <w:t>（三）</w:t>
      </w:r>
      <w:r>
        <w:rPr>
          <w:rFonts w:hint="eastAsia" w:ascii="仿宋" w:hAnsi="仿宋" w:eastAsia="仿宋" w:cs="仿宋"/>
          <w:sz w:val="28"/>
          <w:szCs w:val="28"/>
          <w:lang w:val="en-US" w:eastAsia="zh-CN"/>
        </w:rPr>
        <w:t>进入育肥场人员、车辆，必须经严格消毒后方可进入。做好防疫消毒工作，要定期清扫、消毒栏舍、饲槽、运动场。做好废弃物和无害化处理。不得在生产区内宰杀病残牛。定时1周1次养殖场全面消毒。</w:t>
      </w:r>
    </w:p>
    <w:p>
      <w:pPr>
        <w:numPr>
          <w:ilvl w:val="0"/>
          <w:numId w:val="0"/>
        </w:numPr>
        <w:spacing w:line="360" w:lineRule="auto"/>
        <w:rPr>
          <w:rFonts w:hint="eastAsia" w:ascii="仿宋" w:hAnsi="仿宋" w:eastAsia="仿宋" w:cs="仿宋"/>
          <w:sz w:val="28"/>
          <w:szCs w:val="28"/>
          <w:lang w:val="en-US" w:eastAsia="zh-CN"/>
        </w:rPr>
      </w:pPr>
      <w:r>
        <w:rPr>
          <w:rFonts w:hint="eastAsia" w:ascii="仿宋" w:hAnsi="仿宋" w:cs="仿宋"/>
          <w:sz w:val="28"/>
          <w:szCs w:val="28"/>
          <w:lang w:val="en-US" w:eastAsia="zh-CN"/>
        </w:rPr>
        <w:t>（四）</w:t>
      </w:r>
      <w:r>
        <w:rPr>
          <w:rFonts w:hint="eastAsia" w:ascii="仿宋" w:hAnsi="仿宋" w:eastAsia="仿宋" w:cs="仿宋"/>
          <w:sz w:val="28"/>
          <w:szCs w:val="28"/>
          <w:lang w:val="en-US" w:eastAsia="zh-CN"/>
        </w:rPr>
        <w:t>发觉通常传染病立即汇报所在地动物卫生监督机构：发觉可疑一类传染病或发病率、死亡率较高动物疾病，应采取紧急防范方法并于2小时内汇报所在地动物卫生监督机构。</w:t>
      </w:r>
    </w:p>
    <w:p>
      <w:pPr>
        <w:numPr>
          <w:ilvl w:val="0"/>
          <w:numId w:val="0"/>
        </w:numPr>
        <w:spacing w:line="360" w:lineRule="auto"/>
        <w:outlineLvl w:val="1"/>
        <w:rPr>
          <w:rFonts w:hint="eastAsia"/>
          <w:lang w:val="en-US" w:eastAsia="zh-CN"/>
        </w:rPr>
      </w:pPr>
      <w:bookmarkStart w:id="237" w:name="_Toc23845"/>
      <w:bookmarkStart w:id="238" w:name="_Toc2592"/>
      <w:r>
        <w:rPr>
          <w:rFonts w:hint="eastAsia" w:ascii="仿宋" w:hAnsi="仿宋" w:cs="仿宋"/>
          <w:b/>
          <w:bCs/>
          <w:sz w:val="28"/>
          <w:szCs w:val="28"/>
          <w:lang w:val="en-US" w:eastAsia="zh-CN"/>
        </w:rPr>
        <w:t>四、肉牛养殖场消毒管理制度</w:t>
      </w:r>
      <w:bookmarkEnd w:id="237"/>
      <w:bookmarkEnd w:id="238"/>
    </w:p>
    <w:p>
      <w:pPr>
        <w:numPr>
          <w:ilvl w:val="0"/>
          <w:numId w:val="0"/>
        </w:numPr>
        <w:bidi w:val="0"/>
        <w:spacing w:line="360" w:lineRule="auto"/>
        <w:jc w:val="both"/>
        <w:rPr>
          <w:rFonts w:hint="eastAsia" w:ascii="仿宋" w:hAnsi="仿宋" w:eastAsia="仿宋" w:cs="仿宋"/>
          <w:sz w:val="28"/>
          <w:szCs w:val="28"/>
          <w:lang w:val="en-US" w:eastAsia="zh-CN"/>
        </w:rPr>
      </w:pPr>
      <w:r>
        <w:rPr>
          <w:rFonts w:hint="eastAsia" w:ascii="仿宋" w:hAnsi="仿宋" w:cs="仿宋"/>
          <w:sz w:val="28"/>
          <w:szCs w:val="28"/>
          <w:lang w:val="en-US" w:eastAsia="zh-CN"/>
        </w:rPr>
        <w:t>（一）</w:t>
      </w:r>
      <w:r>
        <w:rPr>
          <w:rFonts w:hint="eastAsia" w:ascii="仿宋" w:hAnsi="仿宋" w:eastAsia="仿宋" w:cs="仿宋"/>
          <w:sz w:val="28"/>
          <w:szCs w:val="28"/>
          <w:lang w:val="en-US" w:eastAsia="zh-CN"/>
        </w:rPr>
        <w:t>养殖场大门处必须设有消毒池，并确保有效消毒浓度，养殖场内应设有兽医室、消毒室、病畜隔离舍。</w:t>
      </w:r>
    </w:p>
    <w:p>
      <w:pPr>
        <w:numPr>
          <w:ilvl w:val="0"/>
          <w:numId w:val="0"/>
        </w:numPr>
        <w:bidi w:val="0"/>
        <w:spacing w:line="360" w:lineRule="auto"/>
        <w:jc w:val="both"/>
        <w:rPr>
          <w:rFonts w:hint="eastAsia" w:ascii="仿宋" w:hAnsi="仿宋" w:eastAsia="仿宋" w:cs="仿宋"/>
          <w:sz w:val="28"/>
          <w:szCs w:val="28"/>
          <w:lang w:val="en-US" w:eastAsia="zh-CN"/>
        </w:rPr>
      </w:pPr>
      <w:r>
        <w:rPr>
          <w:rFonts w:hint="eastAsia" w:ascii="仿宋" w:hAnsi="仿宋" w:cs="仿宋"/>
          <w:sz w:val="28"/>
          <w:szCs w:val="28"/>
          <w:lang w:val="en-US" w:eastAsia="zh-CN"/>
        </w:rPr>
        <w:t>（二）</w:t>
      </w:r>
      <w:r>
        <w:rPr>
          <w:rFonts w:hint="eastAsia" w:ascii="仿宋" w:hAnsi="仿宋" w:eastAsia="仿宋" w:cs="仿宋"/>
          <w:sz w:val="28"/>
          <w:szCs w:val="28"/>
          <w:lang w:val="en-US" w:eastAsia="zh-CN"/>
        </w:rPr>
        <w:t>进处场车辆、人员及用具要严格消毒，除经消毒池外还应经紫外线消毒，进除场生活区消毒10 分钟，生产区消毒15分钟，并更衣换鞋。</w:t>
      </w:r>
    </w:p>
    <w:p>
      <w:pPr>
        <w:numPr>
          <w:ilvl w:val="0"/>
          <w:numId w:val="0"/>
        </w:numPr>
        <w:bidi w:val="0"/>
        <w:spacing w:line="360" w:lineRule="auto"/>
        <w:jc w:val="both"/>
        <w:rPr>
          <w:rFonts w:hint="eastAsia" w:ascii="仿宋" w:hAnsi="仿宋" w:eastAsia="仿宋" w:cs="仿宋"/>
          <w:sz w:val="28"/>
          <w:szCs w:val="28"/>
          <w:lang w:val="en-US" w:eastAsia="zh-CN"/>
        </w:rPr>
      </w:pPr>
      <w:r>
        <w:rPr>
          <w:rFonts w:hint="eastAsia" w:ascii="仿宋" w:hAnsi="仿宋" w:cs="仿宋"/>
          <w:sz w:val="28"/>
          <w:szCs w:val="28"/>
          <w:lang w:val="en-US" w:eastAsia="zh-CN"/>
        </w:rPr>
        <w:t>（三）</w:t>
      </w:r>
      <w:r>
        <w:rPr>
          <w:rFonts w:hint="eastAsia" w:ascii="仿宋" w:hAnsi="仿宋" w:eastAsia="仿宋" w:cs="仿宋"/>
          <w:sz w:val="28"/>
          <w:szCs w:val="28"/>
          <w:lang w:val="en-US" w:eastAsia="zh-CN"/>
        </w:rPr>
        <w:t>每十二个月进行2～4次结核病定时预防消毒，常见消毒药为5%来苏儿、10%漂白粉、3%福尔马林溶液，监测为阳性牛进行隔离诊疗。</w:t>
      </w:r>
    </w:p>
    <w:p>
      <w:pPr>
        <w:numPr>
          <w:ilvl w:val="0"/>
          <w:numId w:val="0"/>
        </w:numPr>
        <w:bidi w:val="0"/>
        <w:spacing w:line="360" w:lineRule="auto"/>
        <w:jc w:val="both"/>
        <w:rPr>
          <w:rFonts w:hint="eastAsia" w:ascii="仿宋" w:hAnsi="仿宋" w:eastAsia="仿宋" w:cs="仿宋"/>
          <w:sz w:val="28"/>
          <w:szCs w:val="28"/>
          <w:lang w:val="en-US" w:eastAsia="zh-CN"/>
        </w:rPr>
      </w:pPr>
      <w:r>
        <w:rPr>
          <w:rFonts w:hint="eastAsia" w:ascii="仿宋" w:hAnsi="仿宋" w:cs="仿宋"/>
          <w:sz w:val="28"/>
          <w:szCs w:val="28"/>
          <w:lang w:val="en-US" w:eastAsia="zh-CN"/>
        </w:rPr>
        <w:t>（四）</w:t>
      </w:r>
      <w:r>
        <w:rPr>
          <w:rFonts w:hint="eastAsia" w:ascii="仿宋" w:hAnsi="仿宋" w:eastAsia="仿宋" w:cs="仿宋"/>
          <w:sz w:val="28"/>
          <w:szCs w:val="28"/>
          <w:lang w:val="en-US" w:eastAsia="zh-CN"/>
        </w:rPr>
        <w:t>场区内每7天消毒1～2次；场区周围及场内污水池、排粪坑、下水道出口，每7天消毒1次。</w:t>
      </w:r>
    </w:p>
    <w:p>
      <w:pPr>
        <w:numPr>
          <w:ilvl w:val="0"/>
          <w:numId w:val="0"/>
        </w:numPr>
        <w:bidi w:val="0"/>
        <w:spacing w:line="360" w:lineRule="auto"/>
        <w:jc w:val="both"/>
        <w:rPr>
          <w:rFonts w:hint="eastAsia" w:ascii="仿宋" w:hAnsi="仿宋" w:eastAsia="仿宋" w:cs="仿宋"/>
          <w:sz w:val="28"/>
          <w:szCs w:val="28"/>
          <w:lang w:val="en-US" w:eastAsia="zh-CN"/>
        </w:rPr>
      </w:pPr>
      <w:r>
        <w:rPr>
          <w:rFonts w:hint="eastAsia" w:ascii="仿宋" w:hAnsi="仿宋" w:cs="仿宋"/>
          <w:sz w:val="28"/>
          <w:szCs w:val="28"/>
          <w:lang w:val="en-US" w:eastAsia="zh-CN"/>
        </w:rPr>
        <w:t>（五）</w:t>
      </w:r>
      <w:r>
        <w:rPr>
          <w:rFonts w:hint="eastAsia" w:ascii="仿宋" w:hAnsi="仿宋" w:eastAsia="仿宋" w:cs="仿宋"/>
          <w:sz w:val="28"/>
          <w:szCs w:val="28"/>
          <w:lang w:val="en-US" w:eastAsia="zh-CN"/>
        </w:rPr>
        <w:t>畜禽舍内每7天最少消毒1次；饲槽、饮水器应每天清洗1次，每7天消毒1次。</w:t>
      </w:r>
    </w:p>
    <w:p>
      <w:pPr>
        <w:numPr>
          <w:ilvl w:val="0"/>
          <w:numId w:val="0"/>
        </w:numPr>
        <w:bidi w:val="0"/>
        <w:spacing w:line="360" w:lineRule="auto"/>
        <w:jc w:val="both"/>
        <w:rPr>
          <w:rFonts w:hint="eastAsia" w:ascii="仿宋" w:hAnsi="仿宋" w:eastAsia="仿宋" w:cs="仿宋"/>
          <w:sz w:val="28"/>
          <w:szCs w:val="28"/>
          <w:lang w:val="en-US" w:eastAsia="zh-CN"/>
        </w:rPr>
      </w:pPr>
      <w:r>
        <w:rPr>
          <w:rFonts w:hint="eastAsia" w:ascii="仿宋" w:hAnsi="仿宋" w:cs="仿宋"/>
          <w:sz w:val="28"/>
          <w:szCs w:val="28"/>
          <w:lang w:val="en-US" w:eastAsia="zh-CN"/>
        </w:rPr>
        <w:t>（六）</w:t>
      </w:r>
      <w:r>
        <w:rPr>
          <w:rFonts w:hint="eastAsia" w:ascii="仿宋" w:hAnsi="仿宋" w:eastAsia="仿宋" w:cs="仿宋"/>
          <w:sz w:val="28"/>
          <w:szCs w:val="28"/>
          <w:lang w:val="en-US" w:eastAsia="zh-CN"/>
        </w:rPr>
        <w:t>消毒药应选择对人核动物安全，没有残留毒性，对设备没有破坏性，不会在动物体内有害积累消毒剂，消毒药应定期轮换使用。</w:t>
      </w:r>
    </w:p>
    <w:p>
      <w:pPr>
        <w:numPr>
          <w:ilvl w:val="0"/>
          <w:numId w:val="0"/>
        </w:numPr>
        <w:bidi w:val="0"/>
        <w:spacing w:line="360" w:lineRule="auto"/>
        <w:jc w:val="both"/>
        <w:rPr>
          <w:rFonts w:hint="eastAsia" w:ascii="仿宋" w:hAnsi="仿宋" w:eastAsia="仿宋" w:cs="仿宋"/>
          <w:sz w:val="28"/>
          <w:szCs w:val="28"/>
          <w:lang w:val="en-US" w:eastAsia="zh-CN"/>
        </w:rPr>
      </w:pPr>
      <w:r>
        <w:rPr>
          <w:rFonts w:hint="eastAsia" w:ascii="仿宋" w:hAnsi="仿宋" w:cs="仿宋"/>
          <w:sz w:val="28"/>
          <w:szCs w:val="28"/>
          <w:lang w:val="en-US" w:eastAsia="zh-CN"/>
        </w:rPr>
        <w:t>（七）</w:t>
      </w:r>
      <w:r>
        <w:rPr>
          <w:rFonts w:hint="eastAsia" w:ascii="仿宋" w:hAnsi="仿宋" w:eastAsia="仿宋" w:cs="仿宋"/>
          <w:sz w:val="28"/>
          <w:szCs w:val="28"/>
          <w:lang w:val="en-US" w:eastAsia="zh-CN"/>
        </w:rPr>
        <w:t>每批肉牛出栏时，要彻底清除粪便，用高压水枪冲洗洁净，待舍内凉干后进行喷雾消毒或熏蒸消毒。</w:t>
      </w:r>
    </w:p>
    <w:p>
      <w:pPr>
        <w:numPr>
          <w:ilvl w:val="0"/>
          <w:numId w:val="0"/>
        </w:numPr>
        <w:bidi w:val="0"/>
        <w:spacing w:line="360" w:lineRule="auto"/>
        <w:jc w:val="both"/>
        <w:rPr>
          <w:rFonts w:hint="eastAsia" w:ascii="仿宋" w:hAnsi="仿宋" w:eastAsia="仿宋" w:cs="仿宋"/>
          <w:sz w:val="28"/>
          <w:szCs w:val="28"/>
          <w:lang w:val="en-US" w:eastAsia="zh-CN"/>
        </w:rPr>
      </w:pPr>
      <w:r>
        <w:rPr>
          <w:rFonts w:hint="eastAsia" w:ascii="仿宋" w:hAnsi="仿宋" w:cs="仿宋"/>
          <w:sz w:val="28"/>
          <w:szCs w:val="28"/>
          <w:lang w:val="en-US" w:eastAsia="zh-CN"/>
        </w:rPr>
        <w:t>（八）</w:t>
      </w:r>
      <w:r>
        <w:rPr>
          <w:rFonts w:hint="eastAsia" w:ascii="仿宋" w:hAnsi="仿宋" w:eastAsia="仿宋" w:cs="仿宋"/>
          <w:sz w:val="28"/>
          <w:szCs w:val="28"/>
          <w:lang w:val="en-US" w:eastAsia="zh-CN"/>
        </w:rPr>
        <w:t>场区、圈舍、休息室、厕所等公共场所核喂养人员工作服、鞋、帽等应常常清洗消毒。</w:t>
      </w:r>
    </w:p>
    <w:p>
      <w:pPr>
        <w:numPr>
          <w:ilvl w:val="0"/>
          <w:numId w:val="0"/>
        </w:numPr>
        <w:bidi w:val="0"/>
        <w:spacing w:line="360" w:lineRule="auto"/>
        <w:jc w:val="both"/>
        <w:rPr>
          <w:rFonts w:hint="default" w:asciiTheme="minorEastAsia" w:hAnsiTheme="minorEastAsia" w:eastAsiaTheme="minorEastAsia" w:cstheme="minorEastAsia"/>
          <w:sz w:val="24"/>
          <w:szCs w:val="24"/>
          <w:lang w:val="en-US" w:eastAsia="zh-CN"/>
        </w:rPr>
      </w:pPr>
      <w:r>
        <w:rPr>
          <w:rFonts w:hint="eastAsia" w:ascii="仿宋" w:hAnsi="仿宋" w:cs="仿宋"/>
          <w:sz w:val="28"/>
          <w:szCs w:val="28"/>
          <w:lang w:val="en-US" w:eastAsia="zh-CN"/>
        </w:rPr>
        <w:t>（九）</w:t>
      </w:r>
      <w:r>
        <w:rPr>
          <w:rFonts w:hint="eastAsia" w:ascii="仿宋" w:hAnsi="仿宋" w:eastAsia="仿宋" w:cs="仿宋"/>
          <w:sz w:val="28"/>
          <w:szCs w:val="28"/>
          <w:lang w:val="en-US" w:eastAsia="zh-CN"/>
        </w:rPr>
        <w:t>运输车辆消毒必须在肉牛喂养场外专门车辆消毒处，用浓度0.5%过氧乙酸溶液消毒。</w:t>
      </w:r>
    </w:p>
    <w:p>
      <w:pPr>
        <w:pStyle w:val="13"/>
      </w:pPr>
    </w:p>
    <w:sectPr>
      <w:pgSz w:w="11906" w:h="16838"/>
      <w:pgMar w:top="1440" w:right="1800" w:bottom="1440" w:left="1800" w:header="907" w:footer="1134" w:gutter="0"/>
      <w:pgNumType w:fmt="decimal"/>
      <w:cols w:space="720"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隶书">
    <w:panose1 w:val="02010509060101010101"/>
    <w:charset w:val="86"/>
    <w:family w:val="auto"/>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jc w:val="center"/>
    </w:pPr>
  </w:p>
  <w:p>
    <w:pPr>
      <w:pStyle w:val="16"/>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left="0" w:leftChars="0" w:firstLine="0" w:firstLineChars="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12" w:lineRule="auto"/>
        <w:ind w:firstLine="480"/>
      </w:pPr>
      <w:r>
        <w:separator/>
      </w:r>
    </w:p>
  </w:footnote>
  <w:footnote w:type="continuationSeparator" w:id="1">
    <w:p>
      <w:pPr>
        <w:spacing w:line="312"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1"/>
      </w:pBdr>
      <w:ind w:firstLine="0" w:firstLineChars="0"/>
      <w:jc w:val="both"/>
      <w:rPr>
        <w:rFonts w:asciiTheme="minorEastAsia" w:hAnsiTheme="minorEastAsia" w:eastAsiaTheme="minor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41A3B9"/>
    <w:multiLevelType w:val="singleLevel"/>
    <w:tmpl w:val="8241A3B9"/>
    <w:lvl w:ilvl="0" w:tentative="0">
      <w:start w:val="1"/>
      <w:numFmt w:val="decimal"/>
      <w:suff w:val="nothing"/>
      <w:lvlText w:val="%1、"/>
      <w:lvlJc w:val="left"/>
    </w:lvl>
  </w:abstractNum>
  <w:abstractNum w:abstractNumId="1">
    <w:nsid w:val="E85671A4"/>
    <w:multiLevelType w:val="singleLevel"/>
    <w:tmpl w:val="E85671A4"/>
    <w:lvl w:ilvl="0" w:tentative="0">
      <w:start w:val="1"/>
      <w:numFmt w:val="decimal"/>
      <w:suff w:val="nothing"/>
      <w:lvlText w:val="%1、"/>
      <w:lvlJc w:val="left"/>
    </w:lvl>
  </w:abstractNum>
  <w:abstractNum w:abstractNumId="2">
    <w:nsid w:val="E9360B06"/>
    <w:multiLevelType w:val="singleLevel"/>
    <w:tmpl w:val="E9360B06"/>
    <w:lvl w:ilvl="0" w:tentative="0">
      <w:start w:val="1"/>
      <w:numFmt w:val="decimal"/>
      <w:suff w:val="nothing"/>
      <w:lvlText w:val="%1、"/>
      <w:lvlJc w:val="left"/>
    </w:lvl>
  </w:abstractNum>
  <w:abstractNum w:abstractNumId="3">
    <w:nsid w:val="EADAFD85"/>
    <w:multiLevelType w:val="singleLevel"/>
    <w:tmpl w:val="EADAFD85"/>
    <w:lvl w:ilvl="0" w:tentative="0">
      <w:start w:val="1"/>
      <w:numFmt w:val="decimal"/>
      <w:suff w:val="nothing"/>
      <w:lvlText w:val="%1、"/>
      <w:lvlJc w:val="left"/>
    </w:lvl>
  </w:abstractNum>
  <w:abstractNum w:abstractNumId="4">
    <w:nsid w:val="F17DAC6F"/>
    <w:multiLevelType w:val="singleLevel"/>
    <w:tmpl w:val="F17DAC6F"/>
    <w:lvl w:ilvl="0" w:tentative="0">
      <w:start w:val="1"/>
      <w:numFmt w:val="decimal"/>
      <w:suff w:val="nothing"/>
      <w:lvlText w:val="%1、"/>
      <w:lvlJc w:val="left"/>
    </w:lvl>
  </w:abstractNum>
  <w:abstractNum w:abstractNumId="5">
    <w:nsid w:val="F30B0661"/>
    <w:multiLevelType w:val="singleLevel"/>
    <w:tmpl w:val="F30B0661"/>
    <w:lvl w:ilvl="0" w:tentative="0">
      <w:start w:val="1"/>
      <w:numFmt w:val="decimal"/>
      <w:suff w:val="nothing"/>
      <w:lvlText w:val="%1、"/>
      <w:lvlJc w:val="left"/>
    </w:lvl>
  </w:abstractNum>
  <w:abstractNum w:abstractNumId="6">
    <w:nsid w:val="F4E124D8"/>
    <w:multiLevelType w:val="singleLevel"/>
    <w:tmpl w:val="F4E124D8"/>
    <w:lvl w:ilvl="0" w:tentative="0">
      <w:start w:val="1"/>
      <w:numFmt w:val="decimal"/>
      <w:suff w:val="nothing"/>
      <w:lvlText w:val="%1、"/>
      <w:lvlJc w:val="left"/>
    </w:lvl>
  </w:abstractNum>
  <w:abstractNum w:abstractNumId="7">
    <w:nsid w:val="FBF9D00F"/>
    <w:multiLevelType w:val="singleLevel"/>
    <w:tmpl w:val="FBF9D00F"/>
    <w:lvl w:ilvl="0" w:tentative="0">
      <w:start w:val="1"/>
      <w:numFmt w:val="decimal"/>
      <w:suff w:val="nothing"/>
      <w:lvlText w:val="（%1）"/>
      <w:lvlJc w:val="left"/>
    </w:lvl>
  </w:abstractNum>
  <w:abstractNum w:abstractNumId="8">
    <w:nsid w:val="0BEE621C"/>
    <w:multiLevelType w:val="multilevel"/>
    <w:tmpl w:val="0BEE621C"/>
    <w:lvl w:ilvl="0" w:tentative="0">
      <w:start w:val="1"/>
      <w:numFmt w:val="chineseCountingThousand"/>
      <w:lvlText w:val="第%1章 "/>
      <w:lvlJc w:val="left"/>
      <w:pPr>
        <w:tabs>
          <w:tab w:val="left" w:pos="1440"/>
        </w:tabs>
        <w:ind w:left="432" w:hanging="432"/>
      </w:pPr>
      <w:rPr>
        <w:rFonts w:hint="eastAsia"/>
        <w:color w:val="000000"/>
        <w:sz w:val="32"/>
        <w:szCs w:val="32"/>
      </w:rPr>
    </w:lvl>
    <w:lvl w:ilvl="1" w:tentative="0">
      <w:start w:val="1"/>
      <w:numFmt w:val="decimal"/>
      <w:isLgl/>
      <w:lvlText w:val="%1.%2"/>
      <w:lvlJc w:val="left"/>
      <w:pPr>
        <w:tabs>
          <w:tab w:val="left" w:pos="576"/>
        </w:tabs>
        <w:ind w:left="576" w:hanging="576"/>
      </w:pPr>
      <w:rPr>
        <w:rFonts w:hint="default" w:ascii="Times New Roman" w:hAnsi="Times New Roman" w:eastAsia="宋体"/>
        <w:color w:val="auto"/>
      </w:rPr>
    </w:lvl>
    <w:lvl w:ilvl="2" w:tentative="0">
      <w:start w:val="1"/>
      <w:numFmt w:val="decimal"/>
      <w:isLgl/>
      <w:lvlText w:val="%1.%2.%3"/>
      <w:lvlJc w:val="left"/>
      <w:pPr>
        <w:tabs>
          <w:tab w:val="left" w:pos="1620"/>
        </w:tabs>
        <w:ind w:left="1260" w:hanging="720"/>
      </w:pPr>
      <w:rPr>
        <w:rFonts w:hint="eastAsia"/>
        <w:color w:val="auto"/>
        <w:sz w:val="24"/>
        <w:szCs w:val="24"/>
      </w:rPr>
    </w:lvl>
    <w:lvl w:ilvl="3" w:tentative="0">
      <w:start w:val="1"/>
      <w:numFmt w:val="decimal"/>
      <w:isLgl/>
      <w:lvlText w:val="%1.%2.%3.%4"/>
      <w:lvlJc w:val="left"/>
      <w:pPr>
        <w:tabs>
          <w:tab w:val="left" w:pos="1440"/>
        </w:tabs>
        <w:ind w:left="864" w:hanging="864"/>
      </w:pPr>
      <w:rPr>
        <w:rFonts w:hint="eastAsia"/>
      </w:rPr>
    </w:lvl>
    <w:lvl w:ilvl="4" w:tentative="0">
      <w:start w:val="1"/>
      <w:numFmt w:val="decimal"/>
      <w:isLgl/>
      <w:lvlText w:val="%1.%2.%3.%4.%5"/>
      <w:lvlJc w:val="left"/>
      <w:pPr>
        <w:tabs>
          <w:tab w:val="left" w:pos="1800"/>
        </w:tabs>
        <w:ind w:left="1008" w:hanging="1008"/>
      </w:pPr>
      <w:rPr>
        <w:rFonts w:hint="eastAsia"/>
      </w:rPr>
    </w:lvl>
    <w:lvl w:ilvl="5" w:tentative="0">
      <w:start w:val="1"/>
      <w:numFmt w:val="decimal"/>
      <w:isLgl/>
      <w:lvlText w:val="%1.%2.%3.%4.%5.%6"/>
      <w:lvlJc w:val="left"/>
      <w:pPr>
        <w:tabs>
          <w:tab w:val="left" w:pos="2160"/>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pStyle w:val="6"/>
      <w:lvlText w:val="%1.%2.%3.%4.%5.%6.%7.%8"/>
      <w:lvlJc w:val="left"/>
      <w:pPr>
        <w:tabs>
          <w:tab w:val="left" w:pos="1440"/>
        </w:tabs>
        <w:ind w:left="417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9">
    <w:nsid w:val="2DDF5B38"/>
    <w:multiLevelType w:val="singleLevel"/>
    <w:tmpl w:val="2DDF5B38"/>
    <w:lvl w:ilvl="0" w:tentative="0">
      <w:start w:val="2"/>
      <w:numFmt w:val="decimal"/>
      <w:suff w:val="space"/>
      <w:lvlText w:val="(%1)"/>
      <w:lvlJc w:val="left"/>
    </w:lvl>
  </w:abstractNum>
  <w:abstractNum w:abstractNumId="10">
    <w:nsid w:val="3BF94E37"/>
    <w:multiLevelType w:val="singleLevel"/>
    <w:tmpl w:val="3BF94E37"/>
    <w:lvl w:ilvl="0" w:tentative="0">
      <w:start w:val="2"/>
      <w:numFmt w:val="chineseCounting"/>
      <w:suff w:val="nothing"/>
      <w:lvlText w:val="（%1）"/>
      <w:lvlJc w:val="left"/>
      <w:rPr>
        <w:rFonts w:hint="eastAsia"/>
      </w:rPr>
    </w:lvl>
  </w:abstractNum>
  <w:abstractNum w:abstractNumId="11">
    <w:nsid w:val="40FFFD33"/>
    <w:multiLevelType w:val="singleLevel"/>
    <w:tmpl w:val="40FFFD33"/>
    <w:lvl w:ilvl="0" w:tentative="0">
      <w:start w:val="1"/>
      <w:numFmt w:val="decimal"/>
      <w:suff w:val="space"/>
      <w:lvlText w:val="(%1)"/>
      <w:lvlJc w:val="left"/>
    </w:lvl>
  </w:abstractNum>
  <w:abstractNum w:abstractNumId="12">
    <w:nsid w:val="499429E3"/>
    <w:multiLevelType w:val="singleLevel"/>
    <w:tmpl w:val="499429E3"/>
    <w:lvl w:ilvl="0" w:tentative="0">
      <w:start w:val="1"/>
      <w:numFmt w:val="decimal"/>
      <w:suff w:val="nothing"/>
      <w:lvlText w:val="%1、"/>
      <w:lvlJc w:val="left"/>
      <w:pPr>
        <w:ind w:left="480" w:leftChars="0" w:firstLine="0" w:firstLineChars="0"/>
      </w:pPr>
    </w:lvl>
  </w:abstractNum>
  <w:abstractNum w:abstractNumId="13">
    <w:nsid w:val="6DF70152"/>
    <w:multiLevelType w:val="singleLevel"/>
    <w:tmpl w:val="6DF70152"/>
    <w:lvl w:ilvl="0" w:tentative="0">
      <w:start w:val="3"/>
      <w:numFmt w:val="decimal"/>
      <w:suff w:val="space"/>
      <w:lvlText w:val="(%1)"/>
      <w:lvlJc w:val="left"/>
    </w:lvl>
  </w:abstractNum>
  <w:num w:numId="1">
    <w:abstractNumId w:val="8"/>
  </w:num>
  <w:num w:numId="2">
    <w:abstractNumId w:val="3"/>
  </w:num>
  <w:num w:numId="3">
    <w:abstractNumId w:val="11"/>
  </w:num>
  <w:num w:numId="4">
    <w:abstractNumId w:val="9"/>
  </w:num>
  <w:num w:numId="5">
    <w:abstractNumId w:val="13"/>
  </w:num>
  <w:num w:numId="6">
    <w:abstractNumId w:val="7"/>
  </w:num>
  <w:num w:numId="7">
    <w:abstractNumId w:val="6"/>
  </w:num>
  <w:num w:numId="8">
    <w:abstractNumId w:val="10"/>
  </w:num>
  <w:num w:numId="9">
    <w:abstractNumId w:val="2"/>
  </w:num>
  <w:num w:numId="10">
    <w:abstractNumId w:val="12"/>
  </w:num>
  <w:num w:numId="11">
    <w:abstractNumId w:val="4"/>
  </w:num>
  <w:num w:numId="12">
    <w:abstractNumId w:val="5"/>
  </w:num>
  <w:num w:numId="13">
    <w:abstractNumId w:val="1"/>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hideGrammatical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WRhMGFkZWRiNTJkYmEzZDdmMmRiOGY1NmJhN2Y1YmMifQ=="/>
  </w:docVars>
  <w:rsids>
    <w:rsidRoot w:val="00E13B38"/>
    <w:rsid w:val="00002127"/>
    <w:rsid w:val="00003498"/>
    <w:rsid w:val="0000594B"/>
    <w:rsid w:val="0000660B"/>
    <w:rsid w:val="000076FB"/>
    <w:rsid w:val="00012CA5"/>
    <w:rsid w:val="00014617"/>
    <w:rsid w:val="00014FA5"/>
    <w:rsid w:val="00017F90"/>
    <w:rsid w:val="000250EA"/>
    <w:rsid w:val="000255CE"/>
    <w:rsid w:val="000259C2"/>
    <w:rsid w:val="00025B4E"/>
    <w:rsid w:val="00030EA0"/>
    <w:rsid w:val="000314D6"/>
    <w:rsid w:val="0003228A"/>
    <w:rsid w:val="00032C60"/>
    <w:rsid w:val="00034721"/>
    <w:rsid w:val="00041C03"/>
    <w:rsid w:val="00041EC7"/>
    <w:rsid w:val="00042E4E"/>
    <w:rsid w:val="0004330D"/>
    <w:rsid w:val="0004354C"/>
    <w:rsid w:val="00043A87"/>
    <w:rsid w:val="000446AB"/>
    <w:rsid w:val="00045F39"/>
    <w:rsid w:val="00045F6B"/>
    <w:rsid w:val="0004736A"/>
    <w:rsid w:val="00053D02"/>
    <w:rsid w:val="00053DAB"/>
    <w:rsid w:val="00053E1B"/>
    <w:rsid w:val="000554AF"/>
    <w:rsid w:val="000575F5"/>
    <w:rsid w:val="0006015F"/>
    <w:rsid w:val="00064269"/>
    <w:rsid w:val="00067325"/>
    <w:rsid w:val="00067833"/>
    <w:rsid w:val="0007004E"/>
    <w:rsid w:val="00082630"/>
    <w:rsid w:val="000834A6"/>
    <w:rsid w:val="000847DF"/>
    <w:rsid w:val="000870A7"/>
    <w:rsid w:val="00087432"/>
    <w:rsid w:val="00090C45"/>
    <w:rsid w:val="00093E2E"/>
    <w:rsid w:val="00094008"/>
    <w:rsid w:val="00094C7C"/>
    <w:rsid w:val="00094F44"/>
    <w:rsid w:val="00096DC3"/>
    <w:rsid w:val="0009705A"/>
    <w:rsid w:val="000978F9"/>
    <w:rsid w:val="00097A17"/>
    <w:rsid w:val="000A03F5"/>
    <w:rsid w:val="000A28B5"/>
    <w:rsid w:val="000A4CD8"/>
    <w:rsid w:val="000A533B"/>
    <w:rsid w:val="000A5498"/>
    <w:rsid w:val="000A7F4E"/>
    <w:rsid w:val="000B2DC5"/>
    <w:rsid w:val="000B3F03"/>
    <w:rsid w:val="000B407A"/>
    <w:rsid w:val="000B5598"/>
    <w:rsid w:val="000B70B1"/>
    <w:rsid w:val="000C031F"/>
    <w:rsid w:val="000C216E"/>
    <w:rsid w:val="000C28E1"/>
    <w:rsid w:val="000C455E"/>
    <w:rsid w:val="000C48F3"/>
    <w:rsid w:val="000C4A79"/>
    <w:rsid w:val="000C57CD"/>
    <w:rsid w:val="000C5A0A"/>
    <w:rsid w:val="000D0626"/>
    <w:rsid w:val="000D35A6"/>
    <w:rsid w:val="000D4437"/>
    <w:rsid w:val="000D4E88"/>
    <w:rsid w:val="000E121F"/>
    <w:rsid w:val="000E54EE"/>
    <w:rsid w:val="000E7458"/>
    <w:rsid w:val="000F3EDD"/>
    <w:rsid w:val="000F45D4"/>
    <w:rsid w:val="000F5B95"/>
    <w:rsid w:val="000F5D3E"/>
    <w:rsid w:val="000F6F0E"/>
    <w:rsid w:val="000F7A67"/>
    <w:rsid w:val="00101496"/>
    <w:rsid w:val="0010185A"/>
    <w:rsid w:val="00102254"/>
    <w:rsid w:val="0010230D"/>
    <w:rsid w:val="0010575F"/>
    <w:rsid w:val="00106600"/>
    <w:rsid w:val="0011063B"/>
    <w:rsid w:val="00111A7D"/>
    <w:rsid w:val="00114827"/>
    <w:rsid w:val="00114BD9"/>
    <w:rsid w:val="00116A07"/>
    <w:rsid w:val="00120647"/>
    <w:rsid w:val="00121E18"/>
    <w:rsid w:val="001257DB"/>
    <w:rsid w:val="00127152"/>
    <w:rsid w:val="0012798F"/>
    <w:rsid w:val="0013037C"/>
    <w:rsid w:val="00132DA3"/>
    <w:rsid w:val="00133408"/>
    <w:rsid w:val="00135980"/>
    <w:rsid w:val="00135F54"/>
    <w:rsid w:val="001363FF"/>
    <w:rsid w:val="001377AE"/>
    <w:rsid w:val="00140D61"/>
    <w:rsid w:val="001416C5"/>
    <w:rsid w:val="00141B44"/>
    <w:rsid w:val="0014328F"/>
    <w:rsid w:val="00143AE4"/>
    <w:rsid w:val="001461FE"/>
    <w:rsid w:val="00146D81"/>
    <w:rsid w:val="00150641"/>
    <w:rsid w:val="001532C9"/>
    <w:rsid w:val="0015463D"/>
    <w:rsid w:val="001548DB"/>
    <w:rsid w:val="001565F9"/>
    <w:rsid w:val="00156856"/>
    <w:rsid w:val="001571D4"/>
    <w:rsid w:val="00162CBF"/>
    <w:rsid w:val="00162F54"/>
    <w:rsid w:val="001655F8"/>
    <w:rsid w:val="00167256"/>
    <w:rsid w:val="0017295A"/>
    <w:rsid w:val="00172DDF"/>
    <w:rsid w:val="00173839"/>
    <w:rsid w:val="00173B25"/>
    <w:rsid w:val="00174D20"/>
    <w:rsid w:val="00177BCE"/>
    <w:rsid w:val="001828E9"/>
    <w:rsid w:val="00186D47"/>
    <w:rsid w:val="00190762"/>
    <w:rsid w:val="00190815"/>
    <w:rsid w:val="0019647B"/>
    <w:rsid w:val="00196A9D"/>
    <w:rsid w:val="00196B3A"/>
    <w:rsid w:val="001A0B0F"/>
    <w:rsid w:val="001A18DA"/>
    <w:rsid w:val="001A774A"/>
    <w:rsid w:val="001B0C45"/>
    <w:rsid w:val="001B298B"/>
    <w:rsid w:val="001B2C07"/>
    <w:rsid w:val="001B3E2C"/>
    <w:rsid w:val="001B466A"/>
    <w:rsid w:val="001B597D"/>
    <w:rsid w:val="001B62CA"/>
    <w:rsid w:val="001C042C"/>
    <w:rsid w:val="001C1586"/>
    <w:rsid w:val="001C15C2"/>
    <w:rsid w:val="001C1B72"/>
    <w:rsid w:val="001C3BD9"/>
    <w:rsid w:val="001C4B20"/>
    <w:rsid w:val="001C4CAA"/>
    <w:rsid w:val="001C5A53"/>
    <w:rsid w:val="001C5BA1"/>
    <w:rsid w:val="001C7FD6"/>
    <w:rsid w:val="001D0951"/>
    <w:rsid w:val="001D4015"/>
    <w:rsid w:val="001D55BE"/>
    <w:rsid w:val="001D5D2C"/>
    <w:rsid w:val="001D7496"/>
    <w:rsid w:val="001E0DF0"/>
    <w:rsid w:val="001E15DB"/>
    <w:rsid w:val="001E1723"/>
    <w:rsid w:val="001E2285"/>
    <w:rsid w:val="001E3427"/>
    <w:rsid w:val="001E40EF"/>
    <w:rsid w:val="001E50A0"/>
    <w:rsid w:val="001E5195"/>
    <w:rsid w:val="001E61A5"/>
    <w:rsid w:val="001E7EAF"/>
    <w:rsid w:val="001F07E5"/>
    <w:rsid w:val="001F311A"/>
    <w:rsid w:val="001F3974"/>
    <w:rsid w:val="001F463E"/>
    <w:rsid w:val="001F77DB"/>
    <w:rsid w:val="002005D6"/>
    <w:rsid w:val="0020235F"/>
    <w:rsid w:val="002045D3"/>
    <w:rsid w:val="00205D22"/>
    <w:rsid w:val="00210E94"/>
    <w:rsid w:val="00211261"/>
    <w:rsid w:val="0021158A"/>
    <w:rsid w:val="00212101"/>
    <w:rsid w:val="002121B3"/>
    <w:rsid w:val="00213C45"/>
    <w:rsid w:val="0021460F"/>
    <w:rsid w:val="00216187"/>
    <w:rsid w:val="00216396"/>
    <w:rsid w:val="00223EE5"/>
    <w:rsid w:val="002240EC"/>
    <w:rsid w:val="00225120"/>
    <w:rsid w:val="002257E0"/>
    <w:rsid w:val="00225A3C"/>
    <w:rsid w:val="00226866"/>
    <w:rsid w:val="00226DC7"/>
    <w:rsid w:val="00226FCD"/>
    <w:rsid w:val="00227214"/>
    <w:rsid w:val="0023040F"/>
    <w:rsid w:val="00231448"/>
    <w:rsid w:val="00232B34"/>
    <w:rsid w:val="00233C30"/>
    <w:rsid w:val="00237783"/>
    <w:rsid w:val="00237F3E"/>
    <w:rsid w:val="0024077A"/>
    <w:rsid w:val="00240FB5"/>
    <w:rsid w:val="00242AFF"/>
    <w:rsid w:val="002433CF"/>
    <w:rsid w:val="00247854"/>
    <w:rsid w:val="002508D6"/>
    <w:rsid w:val="00250A27"/>
    <w:rsid w:val="00251958"/>
    <w:rsid w:val="002525E8"/>
    <w:rsid w:val="00256F55"/>
    <w:rsid w:val="00261E69"/>
    <w:rsid w:val="00265151"/>
    <w:rsid w:val="002655FA"/>
    <w:rsid w:val="002661CF"/>
    <w:rsid w:val="00266814"/>
    <w:rsid w:val="00270A9A"/>
    <w:rsid w:val="00270AB2"/>
    <w:rsid w:val="00271207"/>
    <w:rsid w:val="00280284"/>
    <w:rsid w:val="00280EA1"/>
    <w:rsid w:val="00281D34"/>
    <w:rsid w:val="00282EF7"/>
    <w:rsid w:val="002830A6"/>
    <w:rsid w:val="002830EA"/>
    <w:rsid w:val="002831AB"/>
    <w:rsid w:val="00284A31"/>
    <w:rsid w:val="00287692"/>
    <w:rsid w:val="002902F5"/>
    <w:rsid w:val="00292D97"/>
    <w:rsid w:val="00293617"/>
    <w:rsid w:val="002956FC"/>
    <w:rsid w:val="002962A4"/>
    <w:rsid w:val="00296BB9"/>
    <w:rsid w:val="00297970"/>
    <w:rsid w:val="002A05E0"/>
    <w:rsid w:val="002A0BEB"/>
    <w:rsid w:val="002A1B78"/>
    <w:rsid w:val="002A2C5C"/>
    <w:rsid w:val="002A5DDA"/>
    <w:rsid w:val="002A729C"/>
    <w:rsid w:val="002B0783"/>
    <w:rsid w:val="002B33E8"/>
    <w:rsid w:val="002B583C"/>
    <w:rsid w:val="002C35DC"/>
    <w:rsid w:val="002C5339"/>
    <w:rsid w:val="002C5B0F"/>
    <w:rsid w:val="002C664B"/>
    <w:rsid w:val="002D0A80"/>
    <w:rsid w:val="002D19DF"/>
    <w:rsid w:val="002D1DFE"/>
    <w:rsid w:val="002D2135"/>
    <w:rsid w:val="002D5CE5"/>
    <w:rsid w:val="002D68B3"/>
    <w:rsid w:val="002D7B5A"/>
    <w:rsid w:val="002E07E5"/>
    <w:rsid w:val="002E1165"/>
    <w:rsid w:val="002E1266"/>
    <w:rsid w:val="002E37B4"/>
    <w:rsid w:val="002E3E82"/>
    <w:rsid w:val="002E72C8"/>
    <w:rsid w:val="002F0405"/>
    <w:rsid w:val="002F13BA"/>
    <w:rsid w:val="002F2AC7"/>
    <w:rsid w:val="002F4FEC"/>
    <w:rsid w:val="002F5ED6"/>
    <w:rsid w:val="00302614"/>
    <w:rsid w:val="003054A3"/>
    <w:rsid w:val="00306407"/>
    <w:rsid w:val="00310280"/>
    <w:rsid w:val="00312972"/>
    <w:rsid w:val="00313B5A"/>
    <w:rsid w:val="00321317"/>
    <w:rsid w:val="003218CF"/>
    <w:rsid w:val="0032728B"/>
    <w:rsid w:val="00327E34"/>
    <w:rsid w:val="003303C3"/>
    <w:rsid w:val="003317AA"/>
    <w:rsid w:val="00332185"/>
    <w:rsid w:val="00333822"/>
    <w:rsid w:val="00334B9E"/>
    <w:rsid w:val="003353ED"/>
    <w:rsid w:val="003366BD"/>
    <w:rsid w:val="00340358"/>
    <w:rsid w:val="00341546"/>
    <w:rsid w:val="00343900"/>
    <w:rsid w:val="003458E4"/>
    <w:rsid w:val="00346A69"/>
    <w:rsid w:val="00350014"/>
    <w:rsid w:val="003517FF"/>
    <w:rsid w:val="00351D16"/>
    <w:rsid w:val="003526FF"/>
    <w:rsid w:val="00352725"/>
    <w:rsid w:val="00352751"/>
    <w:rsid w:val="00352B67"/>
    <w:rsid w:val="003554D4"/>
    <w:rsid w:val="00356495"/>
    <w:rsid w:val="00361497"/>
    <w:rsid w:val="00364454"/>
    <w:rsid w:val="003657AC"/>
    <w:rsid w:val="00366085"/>
    <w:rsid w:val="00366503"/>
    <w:rsid w:val="003700F5"/>
    <w:rsid w:val="0037143E"/>
    <w:rsid w:val="00372685"/>
    <w:rsid w:val="003726F8"/>
    <w:rsid w:val="00372BC1"/>
    <w:rsid w:val="00376144"/>
    <w:rsid w:val="0037753D"/>
    <w:rsid w:val="00377F51"/>
    <w:rsid w:val="0038034C"/>
    <w:rsid w:val="003809E9"/>
    <w:rsid w:val="0038188D"/>
    <w:rsid w:val="0038482D"/>
    <w:rsid w:val="00391A9B"/>
    <w:rsid w:val="00391FFD"/>
    <w:rsid w:val="00392A55"/>
    <w:rsid w:val="003960C8"/>
    <w:rsid w:val="003A4A2B"/>
    <w:rsid w:val="003A63B6"/>
    <w:rsid w:val="003B0103"/>
    <w:rsid w:val="003B1102"/>
    <w:rsid w:val="003B3028"/>
    <w:rsid w:val="003B31BF"/>
    <w:rsid w:val="003C0513"/>
    <w:rsid w:val="003C1D5E"/>
    <w:rsid w:val="003C25C6"/>
    <w:rsid w:val="003C2B12"/>
    <w:rsid w:val="003C2F95"/>
    <w:rsid w:val="003C379C"/>
    <w:rsid w:val="003D30E9"/>
    <w:rsid w:val="003D65A9"/>
    <w:rsid w:val="003D6EFD"/>
    <w:rsid w:val="003E14CA"/>
    <w:rsid w:val="003E3B69"/>
    <w:rsid w:val="003E40CB"/>
    <w:rsid w:val="003E55AB"/>
    <w:rsid w:val="003E6A27"/>
    <w:rsid w:val="003E6E29"/>
    <w:rsid w:val="003F0085"/>
    <w:rsid w:val="003F09ED"/>
    <w:rsid w:val="003F0CB0"/>
    <w:rsid w:val="003F7B7F"/>
    <w:rsid w:val="00400640"/>
    <w:rsid w:val="004047E4"/>
    <w:rsid w:val="00404BDE"/>
    <w:rsid w:val="0040546A"/>
    <w:rsid w:val="004054E2"/>
    <w:rsid w:val="0040557A"/>
    <w:rsid w:val="00405EF0"/>
    <w:rsid w:val="004062C0"/>
    <w:rsid w:val="00406637"/>
    <w:rsid w:val="004073F9"/>
    <w:rsid w:val="00407FF3"/>
    <w:rsid w:val="004146B1"/>
    <w:rsid w:val="004147A8"/>
    <w:rsid w:val="004169D0"/>
    <w:rsid w:val="004171FB"/>
    <w:rsid w:val="00424DE5"/>
    <w:rsid w:val="004260CC"/>
    <w:rsid w:val="00427E23"/>
    <w:rsid w:val="0043011E"/>
    <w:rsid w:val="00430515"/>
    <w:rsid w:val="00431924"/>
    <w:rsid w:val="00437C60"/>
    <w:rsid w:val="00437EDE"/>
    <w:rsid w:val="00440FDD"/>
    <w:rsid w:val="004416D9"/>
    <w:rsid w:val="00441DE0"/>
    <w:rsid w:val="00442CB0"/>
    <w:rsid w:val="004442DB"/>
    <w:rsid w:val="00444B2C"/>
    <w:rsid w:val="00446357"/>
    <w:rsid w:val="004468A8"/>
    <w:rsid w:val="00446D7C"/>
    <w:rsid w:val="004474FA"/>
    <w:rsid w:val="004500BA"/>
    <w:rsid w:val="00450EA7"/>
    <w:rsid w:val="00453CBB"/>
    <w:rsid w:val="004541D0"/>
    <w:rsid w:val="00455DCB"/>
    <w:rsid w:val="004561F4"/>
    <w:rsid w:val="00456564"/>
    <w:rsid w:val="004567A0"/>
    <w:rsid w:val="00456E77"/>
    <w:rsid w:val="00460E3E"/>
    <w:rsid w:val="004617CB"/>
    <w:rsid w:val="00462B5E"/>
    <w:rsid w:val="00462DD7"/>
    <w:rsid w:val="00463DAE"/>
    <w:rsid w:val="00464E63"/>
    <w:rsid w:val="004656C6"/>
    <w:rsid w:val="00465CEB"/>
    <w:rsid w:val="00466F8B"/>
    <w:rsid w:val="0046754B"/>
    <w:rsid w:val="0046780E"/>
    <w:rsid w:val="00467AD2"/>
    <w:rsid w:val="00467F9B"/>
    <w:rsid w:val="00470415"/>
    <w:rsid w:val="00470569"/>
    <w:rsid w:val="00471ADF"/>
    <w:rsid w:val="004727B9"/>
    <w:rsid w:val="00474F94"/>
    <w:rsid w:val="004770AB"/>
    <w:rsid w:val="00477E3C"/>
    <w:rsid w:val="00480D81"/>
    <w:rsid w:val="0048174E"/>
    <w:rsid w:val="00481F5D"/>
    <w:rsid w:val="004844B8"/>
    <w:rsid w:val="00485122"/>
    <w:rsid w:val="0048590D"/>
    <w:rsid w:val="00485CA2"/>
    <w:rsid w:val="00490D8D"/>
    <w:rsid w:val="00492E80"/>
    <w:rsid w:val="00493ED9"/>
    <w:rsid w:val="00494B8F"/>
    <w:rsid w:val="00495C30"/>
    <w:rsid w:val="004A0F4F"/>
    <w:rsid w:val="004A1B77"/>
    <w:rsid w:val="004A1B7F"/>
    <w:rsid w:val="004A443F"/>
    <w:rsid w:val="004A469B"/>
    <w:rsid w:val="004A5C6A"/>
    <w:rsid w:val="004A5EE7"/>
    <w:rsid w:val="004A6676"/>
    <w:rsid w:val="004B0754"/>
    <w:rsid w:val="004B142C"/>
    <w:rsid w:val="004B34F5"/>
    <w:rsid w:val="004B397A"/>
    <w:rsid w:val="004B4D24"/>
    <w:rsid w:val="004B5ECA"/>
    <w:rsid w:val="004B6267"/>
    <w:rsid w:val="004B6965"/>
    <w:rsid w:val="004B6E58"/>
    <w:rsid w:val="004B7747"/>
    <w:rsid w:val="004C0800"/>
    <w:rsid w:val="004C0A66"/>
    <w:rsid w:val="004C1EAF"/>
    <w:rsid w:val="004C53A7"/>
    <w:rsid w:val="004C693B"/>
    <w:rsid w:val="004D226A"/>
    <w:rsid w:val="004D27A5"/>
    <w:rsid w:val="004D3696"/>
    <w:rsid w:val="004D760A"/>
    <w:rsid w:val="004D79D9"/>
    <w:rsid w:val="004E175D"/>
    <w:rsid w:val="004E24CA"/>
    <w:rsid w:val="004E2F77"/>
    <w:rsid w:val="004E3340"/>
    <w:rsid w:val="004E461A"/>
    <w:rsid w:val="004E6C6A"/>
    <w:rsid w:val="004F25EB"/>
    <w:rsid w:val="004F2DF2"/>
    <w:rsid w:val="004F2E60"/>
    <w:rsid w:val="004F3365"/>
    <w:rsid w:val="004F64FF"/>
    <w:rsid w:val="004F727C"/>
    <w:rsid w:val="004F769C"/>
    <w:rsid w:val="00502237"/>
    <w:rsid w:val="0050223D"/>
    <w:rsid w:val="005023D6"/>
    <w:rsid w:val="005026FC"/>
    <w:rsid w:val="00502AA2"/>
    <w:rsid w:val="00502FE4"/>
    <w:rsid w:val="00504A6D"/>
    <w:rsid w:val="0050715C"/>
    <w:rsid w:val="005072E3"/>
    <w:rsid w:val="00507830"/>
    <w:rsid w:val="00507B2A"/>
    <w:rsid w:val="00507D3C"/>
    <w:rsid w:val="00510818"/>
    <w:rsid w:val="00511DA9"/>
    <w:rsid w:val="005127AA"/>
    <w:rsid w:val="0051439C"/>
    <w:rsid w:val="00514888"/>
    <w:rsid w:val="00514DA9"/>
    <w:rsid w:val="00517A4D"/>
    <w:rsid w:val="00522BCC"/>
    <w:rsid w:val="005244C6"/>
    <w:rsid w:val="005262CF"/>
    <w:rsid w:val="0052739B"/>
    <w:rsid w:val="005277CE"/>
    <w:rsid w:val="00527C19"/>
    <w:rsid w:val="005311CF"/>
    <w:rsid w:val="005339A0"/>
    <w:rsid w:val="00534FB9"/>
    <w:rsid w:val="005352B2"/>
    <w:rsid w:val="00536797"/>
    <w:rsid w:val="00543875"/>
    <w:rsid w:val="005479C1"/>
    <w:rsid w:val="00554EE0"/>
    <w:rsid w:val="00563564"/>
    <w:rsid w:val="00564254"/>
    <w:rsid w:val="00571F34"/>
    <w:rsid w:val="00572116"/>
    <w:rsid w:val="005721DD"/>
    <w:rsid w:val="005733F7"/>
    <w:rsid w:val="00573A2D"/>
    <w:rsid w:val="00575572"/>
    <w:rsid w:val="005759C1"/>
    <w:rsid w:val="00575A3B"/>
    <w:rsid w:val="00575EC5"/>
    <w:rsid w:val="0058046D"/>
    <w:rsid w:val="00580733"/>
    <w:rsid w:val="0058198B"/>
    <w:rsid w:val="0058199A"/>
    <w:rsid w:val="00583C79"/>
    <w:rsid w:val="00584F13"/>
    <w:rsid w:val="00586517"/>
    <w:rsid w:val="0058663D"/>
    <w:rsid w:val="00587255"/>
    <w:rsid w:val="0059331D"/>
    <w:rsid w:val="0059477E"/>
    <w:rsid w:val="00596A61"/>
    <w:rsid w:val="005A10C5"/>
    <w:rsid w:val="005A5096"/>
    <w:rsid w:val="005A51F5"/>
    <w:rsid w:val="005A5804"/>
    <w:rsid w:val="005A7097"/>
    <w:rsid w:val="005B7C15"/>
    <w:rsid w:val="005C1284"/>
    <w:rsid w:val="005C138F"/>
    <w:rsid w:val="005C19D9"/>
    <w:rsid w:val="005C1B19"/>
    <w:rsid w:val="005C22D9"/>
    <w:rsid w:val="005C31DA"/>
    <w:rsid w:val="005C4A10"/>
    <w:rsid w:val="005C4EA2"/>
    <w:rsid w:val="005D0270"/>
    <w:rsid w:val="005D107B"/>
    <w:rsid w:val="005D1706"/>
    <w:rsid w:val="005D3370"/>
    <w:rsid w:val="005D356E"/>
    <w:rsid w:val="005D4678"/>
    <w:rsid w:val="005D48EF"/>
    <w:rsid w:val="005D53D0"/>
    <w:rsid w:val="005D677D"/>
    <w:rsid w:val="005D67F0"/>
    <w:rsid w:val="005D719C"/>
    <w:rsid w:val="005E7A3E"/>
    <w:rsid w:val="005F18EE"/>
    <w:rsid w:val="005F20C0"/>
    <w:rsid w:val="005F2779"/>
    <w:rsid w:val="005F329E"/>
    <w:rsid w:val="005F3494"/>
    <w:rsid w:val="005F7478"/>
    <w:rsid w:val="006012BA"/>
    <w:rsid w:val="006035CB"/>
    <w:rsid w:val="00604234"/>
    <w:rsid w:val="006045CC"/>
    <w:rsid w:val="006062B5"/>
    <w:rsid w:val="00606C93"/>
    <w:rsid w:val="0060710C"/>
    <w:rsid w:val="00610279"/>
    <w:rsid w:val="0061464B"/>
    <w:rsid w:val="00615DCA"/>
    <w:rsid w:val="006161E3"/>
    <w:rsid w:val="00616226"/>
    <w:rsid w:val="00616495"/>
    <w:rsid w:val="00617CBE"/>
    <w:rsid w:val="00620ABF"/>
    <w:rsid w:val="00621783"/>
    <w:rsid w:val="00621964"/>
    <w:rsid w:val="0062222C"/>
    <w:rsid w:val="0062269C"/>
    <w:rsid w:val="00623F25"/>
    <w:rsid w:val="00627D58"/>
    <w:rsid w:val="00630726"/>
    <w:rsid w:val="00633A47"/>
    <w:rsid w:val="00636CE6"/>
    <w:rsid w:val="00637C02"/>
    <w:rsid w:val="0064073C"/>
    <w:rsid w:val="00642368"/>
    <w:rsid w:val="00642D6A"/>
    <w:rsid w:val="006434F3"/>
    <w:rsid w:val="00643F66"/>
    <w:rsid w:val="006453A9"/>
    <w:rsid w:val="00645DCD"/>
    <w:rsid w:val="00647A0C"/>
    <w:rsid w:val="00647AF2"/>
    <w:rsid w:val="00647CE1"/>
    <w:rsid w:val="0065038F"/>
    <w:rsid w:val="00651242"/>
    <w:rsid w:val="00653167"/>
    <w:rsid w:val="00653F2B"/>
    <w:rsid w:val="0065443E"/>
    <w:rsid w:val="00654D2F"/>
    <w:rsid w:val="00655148"/>
    <w:rsid w:val="006558C9"/>
    <w:rsid w:val="0065662D"/>
    <w:rsid w:val="00657219"/>
    <w:rsid w:val="006572E6"/>
    <w:rsid w:val="00660F00"/>
    <w:rsid w:val="0066224D"/>
    <w:rsid w:val="006629C4"/>
    <w:rsid w:val="00663823"/>
    <w:rsid w:val="00663EBA"/>
    <w:rsid w:val="00666125"/>
    <w:rsid w:val="00672678"/>
    <w:rsid w:val="006735DA"/>
    <w:rsid w:val="0067405B"/>
    <w:rsid w:val="00675F4F"/>
    <w:rsid w:val="00676AAE"/>
    <w:rsid w:val="00676EA7"/>
    <w:rsid w:val="00677A1E"/>
    <w:rsid w:val="00680035"/>
    <w:rsid w:val="00680E49"/>
    <w:rsid w:val="00681BCB"/>
    <w:rsid w:val="00682E6C"/>
    <w:rsid w:val="006830D4"/>
    <w:rsid w:val="00684767"/>
    <w:rsid w:val="006848F6"/>
    <w:rsid w:val="00685765"/>
    <w:rsid w:val="006858A4"/>
    <w:rsid w:val="00685EBF"/>
    <w:rsid w:val="006873B2"/>
    <w:rsid w:val="006907EF"/>
    <w:rsid w:val="006916BA"/>
    <w:rsid w:val="0069438D"/>
    <w:rsid w:val="00695D73"/>
    <w:rsid w:val="006A1650"/>
    <w:rsid w:val="006A5536"/>
    <w:rsid w:val="006A5CE7"/>
    <w:rsid w:val="006A5EC5"/>
    <w:rsid w:val="006A71E3"/>
    <w:rsid w:val="006A7675"/>
    <w:rsid w:val="006B22D8"/>
    <w:rsid w:val="006B2C6B"/>
    <w:rsid w:val="006B4BD6"/>
    <w:rsid w:val="006B6120"/>
    <w:rsid w:val="006B6411"/>
    <w:rsid w:val="006B758F"/>
    <w:rsid w:val="006B7930"/>
    <w:rsid w:val="006C5C29"/>
    <w:rsid w:val="006C6139"/>
    <w:rsid w:val="006C7DE3"/>
    <w:rsid w:val="006D10D5"/>
    <w:rsid w:val="006D2927"/>
    <w:rsid w:val="006D3482"/>
    <w:rsid w:val="006E071B"/>
    <w:rsid w:val="006E0EFF"/>
    <w:rsid w:val="006E7C5C"/>
    <w:rsid w:val="006F36A6"/>
    <w:rsid w:val="006F3D2D"/>
    <w:rsid w:val="006F5812"/>
    <w:rsid w:val="006F5F1E"/>
    <w:rsid w:val="006F688B"/>
    <w:rsid w:val="006F7572"/>
    <w:rsid w:val="0070319D"/>
    <w:rsid w:val="00704003"/>
    <w:rsid w:val="007044F8"/>
    <w:rsid w:val="00704F24"/>
    <w:rsid w:val="0070786F"/>
    <w:rsid w:val="00707A7F"/>
    <w:rsid w:val="00710315"/>
    <w:rsid w:val="00711B30"/>
    <w:rsid w:val="0071223D"/>
    <w:rsid w:val="00712614"/>
    <w:rsid w:val="00715E97"/>
    <w:rsid w:val="007168BE"/>
    <w:rsid w:val="00716E57"/>
    <w:rsid w:val="00723C79"/>
    <w:rsid w:val="00724FBC"/>
    <w:rsid w:val="00725823"/>
    <w:rsid w:val="00725A08"/>
    <w:rsid w:val="00726AAD"/>
    <w:rsid w:val="00726C0E"/>
    <w:rsid w:val="0072708F"/>
    <w:rsid w:val="00732C84"/>
    <w:rsid w:val="00733875"/>
    <w:rsid w:val="00733B34"/>
    <w:rsid w:val="007349A0"/>
    <w:rsid w:val="00737FDF"/>
    <w:rsid w:val="0074004B"/>
    <w:rsid w:val="00740CEE"/>
    <w:rsid w:val="00740DDF"/>
    <w:rsid w:val="00743FA7"/>
    <w:rsid w:val="00744472"/>
    <w:rsid w:val="007476B1"/>
    <w:rsid w:val="007476BE"/>
    <w:rsid w:val="00753133"/>
    <w:rsid w:val="0075323D"/>
    <w:rsid w:val="00753903"/>
    <w:rsid w:val="007540F8"/>
    <w:rsid w:val="007545D5"/>
    <w:rsid w:val="007619F9"/>
    <w:rsid w:val="00761DA8"/>
    <w:rsid w:val="00761E89"/>
    <w:rsid w:val="00762C18"/>
    <w:rsid w:val="00766BAB"/>
    <w:rsid w:val="007677DF"/>
    <w:rsid w:val="0077094B"/>
    <w:rsid w:val="00771CDA"/>
    <w:rsid w:val="0077277D"/>
    <w:rsid w:val="007746EF"/>
    <w:rsid w:val="00776824"/>
    <w:rsid w:val="007805BC"/>
    <w:rsid w:val="00781711"/>
    <w:rsid w:val="00783BBF"/>
    <w:rsid w:val="00784A0D"/>
    <w:rsid w:val="00784E97"/>
    <w:rsid w:val="007874A9"/>
    <w:rsid w:val="00787738"/>
    <w:rsid w:val="00792702"/>
    <w:rsid w:val="0079298C"/>
    <w:rsid w:val="00792E5B"/>
    <w:rsid w:val="007953AC"/>
    <w:rsid w:val="007A040C"/>
    <w:rsid w:val="007A437F"/>
    <w:rsid w:val="007A615F"/>
    <w:rsid w:val="007A6B0A"/>
    <w:rsid w:val="007B0912"/>
    <w:rsid w:val="007B1F80"/>
    <w:rsid w:val="007B45D8"/>
    <w:rsid w:val="007B519D"/>
    <w:rsid w:val="007B64B3"/>
    <w:rsid w:val="007B6C27"/>
    <w:rsid w:val="007B7BA7"/>
    <w:rsid w:val="007C0E50"/>
    <w:rsid w:val="007C3D10"/>
    <w:rsid w:val="007C655E"/>
    <w:rsid w:val="007C6A1D"/>
    <w:rsid w:val="007C6D5F"/>
    <w:rsid w:val="007C7E89"/>
    <w:rsid w:val="007D0265"/>
    <w:rsid w:val="007D20BE"/>
    <w:rsid w:val="007D2A51"/>
    <w:rsid w:val="007D33D3"/>
    <w:rsid w:val="007D47AD"/>
    <w:rsid w:val="007D61F8"/>
    <w:rsid w:val="007D7B80"/>
    <w:rsid w:val="007E01E9"/>
    <w:rsid w:val="007E12C0"/>
    <w:rsid w:val="007E1631"/>
    <w:rsid w:val="007E18EC"/>
    <w:rsid w:val="007E28F4"/>
    <w:rsid w:val="007E37D3"/>
    <w:rsid w:val="007E37E5"/>
    <w:rsid w:val="007F0163"/>
    <w:rsid w:val="007F3C86"/>
    <w:rsid w:val="007F54AC"/>
    <w:rsid w:val="007F6531"/>
    <w:rsid w:val="007F7463"/>
    <w:rsid w:val="007F7674"/>
    <w:rsid w:val="007F7798"/>
    <w:rsid w:val="007F77D4"/>
    <w:rsid w:val="007F783F"/>
    <w:rsid w:val="00800229"/>
    <w:rsid w:val="00800465"/>
    <w:rsid w:val="008008BD"/>
    <w:rsid w:val="00800C76"/>
    <w:rsid w:val="00802CBB"/>
    <w:rsid w:val="008046DB"/>
    <w:rsid w:val="00805BAA"/>
    <w:rsid w:val="00810221"/>
    <w:rsid w:val="0081100B"/>
    <w:rsid w:val="00811C47"/>
    <w:rsid w:val="0081394B"/>
    <w:rsid w:val="00814B5E"/>
    <w:rsid w:val="00814FC4"/>
    <w:rsid w:val="00817337"/>
    <w:rsid w:val="00817CFC"/>
    <w:rsid w:val="00823344"/>
    <w:rsid w:val="00824072"/>
    <w:rsid w:val="008252A3"/>
    <w:rsid w:val="00825F9A"/>
    <w:rsid w:val="00827019"/>
    <w:rsid w:val="00827588"/>
    <w:rsid w:val="0083168B"/>
    <w:rsid w:val="008317EF"/>
    <w:rsid w:val="0083409E"/>
    <w:rsid w:val="00835688"/>
    <w:rsid w:val="00840B16"/>
    <w:rsid w:val="00846CBB"/>
    <w:rsid w:val="00850D46"/>
    <w:rsid w:val="008535DF"/>
    <w:rsid w:val="00853940"/>
    <w:rsid w:val="00853C06"/>
    <w:rsid w:val="0085479D"/>
    <w:rsid w:val="00855351"/>
    <w:rsid w:val="008560DD"/>
    <w:rsid w:val="00860A07"/>
    <w:rsid w:val="00860C5A"/>
    <w:rsid w:val="008622B5"/>
    <w:rsid w:val="00862D9C"/>
    <w:rsid w:val="00863927"/>
    <w:rsid w:val="008670DF"/>
    <w:rsid w:val="008677E5"/>
    <w:rsid w:val="0086782D"/>
    <w:rsid w:val="00870AF4"/>
    <w:rsid w:val="008710AD"/>
    <w:rsid w:val="00872F3F"/>
    <w:rsid w:val="00873742"/>
    <w:rsid w:val="00875914"/>
    <w:rsid w:val="0087753F"/>
    <w:rsid w:val="008776C3"/>
    <w:rsid w:val="00881EC5"/>
    <w:rsid w:val="00882C0B"/>
    <w:rsid w:val="00884E0B"/>
    <w:rsid w:val="00884EB2"/>
    <w:rsid w:val="0088507B"/>
    <w:rsid w:val="008905B8"/>
    <w:rsid w:val="00891606"/>
    <w:rsid w:val="00891E74"/>
    <w:rsid w:val="00893EDE"/>
    <w:rsid w:val="008956D3"/>
    <w:rsid w:val="00895CC3"/>
    <w:rsid w:val="00896F07"/>
    <w:rsid w:val="00897325"/>
    <w:rsid w:val="008A08D1"/>
    <w:rsid w:val="008A4F48"/>
    <w:rsid w:val="008A56E6"/>
    <w:rsid w:val="008A5723"/>
    <w:rsid w:val="008A5FB8"/>
    <w:rsid w:val="008A61A1"/>
    <w:rsid w:val="008A640B"/>
    <w:rsid w:val="008A7323"/>
    <w:rsid w:val="008A745F"/>
    <w:rsid w:val="008A7BF0"/>
    <w:rsid w:val="008B0609"/>
    <w:rsid w:val="008B23FC"/>
    <w:rsid w:val="008B2FD7"/>
    <w:rsid w:val="008B3126"/>
    <w:rsid w:val="008B4723"/>
    <w:rsid w:val="008B6133"/>
    <w:rsid w:val="008B65E8"/>
    <w:rsid w:val="008B7101"/>
    <w:rsid w:val="008C0B68"/>
    <w:rsid w:val="008C23B4"/>
    <w:rsid w:val="008C3F64"/>
    <w:rsid w:val="008C4BE4"/>
    <w:rsid w:val="008D00C4"/>
    <w:rsid w:val="008D1777"/>
    <w:rsid w:val="008D2DEF"/>
    <w:rsid w:val="008D3D58"/>
    <w:rsid w:val="008D5AA7"/>
    <w:rsid w:val="008D7D5E"/>
    <w:rsid w:val="008E2EAA"/>
    <w:rsid w:val="008E38CF"/>
    <w:rsid w:val="008F00E3"/>
    <w:rsid w:val="008F0E94"/>
    <w:rsid w:val="008F1D20"/>
    <w:rsid w:val="008F1D64"/>
    <w:rsid w:val="008F2163"/>
    <w:rsid w:val="008F2CEF"/>
    <w:rsid w:val="008F38D4"/>
    <w:rsid w:val="008F7082"/>
    <w:rsid w:val="008F750A"/>
    <w:rsid w:val="008F786E"/>
    <w:rsid w:val="009001C8"/>
    <w:rsid w:val="009026B6"/>
    <w:rsid w:val="009037EB"/>
    <w:rsid w:val="00906FD0"/>
    <w:rsid w:val="0090797A"/>
    <w:rsid w:val="00910D11"/>
    <w:rsid w:val="00914EAD"/>
    <w:rsid w:val="00916AAD"/>
    <w:rsid w:val="00916F9C"/>
    <w:rsid w:val="00917A9F"/>
    <w:rsid w:val="0092065C"/>
    <w:rsid w:val="009209DD"/>
    <w:rsid w:val="0092749E"/>
    <w:rsid w:val="0092799F"/>
    <w:rsid w:val="00927C4D"/>
    <w:rsid w:val="009313FD"/>
    <w:rsid w:val="00931FB8"/>
    <w:rsid w:val="00933E06"/>
    <w:rsid w:val="009364EA"/>
    <w:rsid w:val="009402E5"/>
    <w:rsid w:val="00940716"/>
    <w:rsid w:val="009438A7"/>
    <w:rsid w:val="00943B69"/>
    <w:rsid w:val="00944BEF"/>
    <w:rsid w:val="00954675"/>
    <w:rsid w:val="009556EE"/>
    <w:rsid w:val="00957494"/>
    <w:rsid w:val="00963002"/>
    <w:rsid w:val="00967C11"/>
    <w:rsid w:val="00967EA6"/>
    <w:rsid w:val="00971261"/>
    <w:rsid w:val="00971591"/>
    <w:rsid w:val="0097359B"/>
    <w:rsid w:val="00974D18"/>
    <w:rsid w:val="00975A62"/>
    <w:rsid w:val="0098318F"/>
    <w:rsid w:val="009834D9"/>
    <w:rsid w:val="0098613C"/>
    <w:rsid w:val="00987711"/>
    <w:rsid w:val="009907E5"/>
    <w:rsid w:val="00990864"/>
    <w:rsid w:val="00991D28"/>
    <w:rsid w:val="009922E8"/>
    <w:rsid w:val="00993BC8"/>
    <w:rsid w:val="00995675"/>
    <w:rsid w:val="00995BEB"/>
    <w:rsid w:val="00997226"/>
    <w:rsid w:val="009A1B69"/>
    <w:rsid w:val="009A2093"/>
    <w:rsid w:val="009A2C89"/>
    <w:rsid w:val="009A5769"/>
    <w:rsid w:val="009A607E"/>
    <w:rsid w:val="009A7917"/>
    <w:rsid w:val="009B0BD1"/>
    <w:rsid w:val="009B128A"/>
    <w:rsid w:val="009B2C6D"/>
    <w:rsid w:val="009B5889"/>
    <w:rsid w:val="009B63DA"/>
    <w:rsid w:val="009B6E7E"/>
    <w:rsid w:val="009C01A0"/>
    <w:rsid w:val="009C0E10"/>
    <w:rsid w:val="009C0E32"/>
    <w:rsid w:val="009C123D"/>
    <w:rsid w:val="009C2562"/>
    <w:rsid w:val="009C283A"/>
    <w:rsid w:val="009C4AB0"/>
    <w:rsid w:val="009C539C"/>
    <w:rsid w:val="009C5F9B"/>
    <w:rsid w:val="009C65FF"/>
    <w:rsid w:val="009C6C4A"/>
    <w:rsid w:val="009D25DF"/>
    <w:rsid w:val="009D3953"/>
    <w:rsid w:val="009D5B4A"/>
    <w:rsid w:val="009D5FFC"/>
    <w:rsid w:val="009D6ED8"/>
    <w:rsid w:val="009E230B"/>
    <w:rsid w:val="009E3B8A"/>
    <w:rsid w:val="009E7EF7"/>
    <w:rsid w:val="009F1FE7"/>
    <w:rsid w:val="009F2009"/>
    <w:rsid w:val="009F355E"/>
    <w:rsid w:val="009F4C6A"/>
    <w:rsid w:val="009F5BA0"/>
    <w:rsid w:val="009F7022"/>
    <w:rsid w:val="00A03BC2"/>
    <w:rsid w:val="00A05C7B"/>
    <w:rsid w:val="00A06AFA"/>
    <w:rsid w:val="00A10940"/>
    <w:rsid w:val="00A13F54"/>
    <w:rsid w:val="00A15314"/>
    <w:rsid w:val="00A1692C"/>
    <w:rsid w:val="00A17EB8"/>
    <w:rsid w:val="00A17ED2"/>
    <w:rsid w:val="00A209F6"/>
    <w:rsid w:val="00A21F3C"/>
    <w:rsid w:val="00A228D3"/>
    <w:rsid w:val="00A26A82"/>
    <w:rsid w:val="00A3003C"/>
    <w:rsid w:val="00A3045D"/>
    <w:rsid w:val="00A32B7A"/>
    <w:rsid w:val="00A338F1"/>
    <w:rsid w:val="00A35682"/>
    <w:rsid w:val="00A35A41"/>
    <w:rsid w:val="00A37433"/>
    <w:rsid w:val="00A377FA"/>
    <w:rsid w:val="00A44872"/>
    <w:rsid w:val="00A51259"/>
    <w:rsid w:val="00A521CA"/>
    <w:rsid w:val="00A54542"/>
    <w:rsid w:val="00A54EFA"/>
    <w:rsid w:val="00A56516"/>
    <w:rsid w:val="00A57533"/>
    <w:rsid w:val="00A600C2"/>
    <w:rsid w:val="00A61DC8"/>
    <w:rsid w:val="00A63C21"/>
    <w:rsid w:val="00A648C5"/>
    <w:rsid w:val="00A655F4"/>
    <w:rsid w:val="00A65F74"/>
    <w:rsid w:val="00A66433"/>
    <w:rsid w:val="00A70B57"/>
    <w:rsid w:val="00A70CEC"/>
    <w:rsid w:val="00A71699"/>
    <w:rsid w:val="00A72E73"/>
    <w:rsid w:val="00A812B0"/>
    <w:rsid w:val="00A82B7C"/>
    <w:rsid w:val="00A83D80"/>
    <w:rsid w:val="00A83FC4"/>
    <w:rsid w:val="00A86C0C"/>
    <w:rsid w:val="00A91578"/>
    <w:rsid w:val="00A922BD"/>
    <w:rsid w:val="00A923A9"/>
    <w:rsid w:val="00A92A22"/>
    <w:rsid w:val="00A95F4B"/>
    <w:rsid w:val="00A96308"/>
    <w:rsid w:val="00A965A6"/>
    <w:rsid w:val="00AA0144"/>
    <w:rsid w:val="00AA126E"/>
    <w:rsid w:val="00AA3416"/>
    <w:rsid w:val="00AA382C"/>
    <w:rsid w:val="00AA3ED8"/>
    <w:rsid w:val="00AA5300"/>
    <w:rsid w:val="00AA6A63"/>
    <w:rsid w:val="00AA7B69"/>
    <w:rsid w:val="00AB26F4"/>
    <w:rsid w:val="00AB5E87"/>
    <w:rsid w:val="00AB77C2"/>
    <w:rsid w:val="00AB7819"/>
    <w:rsid w:val="00AC4DF4"/>
    <w:rsid w:val="00AC55E3"/>
    <w:rsid w:val="00AC6AFC"/>
    <w:rsid w:val="00AC75D6"/>
    <w:rsid w:val="00AD1819"/>
    <w:rsid w:val="00AD34C9"/>
    <w:rsid w:val="00AD389D"/>
    <w:rsid w:val="00AD4258"/>
    <w:rsid w:val="00AD429F"/>
    <w:rsid w:val="00AD4CE9"/>
    <w:rsid w:val="00AD58BF"/>
    <w:rsid w:val="00AD5DB6"/>
    <w:rsid w:val="00AD67C7"/>
    <w:rsid w:val="00AD6DCA"/>
    <w:rsid w:val="00AD7811"/>
    <w:rsid w:val="00AE26AF"/>
    <w:rsid w:val="00AE50E3"/>
    <w:rsid w:val="00AE5280"/>
    <w:rsid w:val="00AE6AD0"/>
    <w:rsid w:val="00AE6C1C"/>
    <w:rsid w:val="00AF089A"/>
    <w:rsid w:val="00AF1697"/>
    <w:rsid w:val="00AF43B7"/>
    <w:rsid w:val="00AF44E4"/>
    <w:rsid w:val="00AF6360"/>
    <w:rsid w:val="00AF65D3"/>
    <w:rsid w:val="00AF79CC"/>
    <w:rsid w:val="00B040D6"/>
    <w:rsid w:val="00B05FE7"/>
    <w:rsid w:val="00B06C9D"/>
    <w:rsid w:val="00B10F9A"/>
    <w:rsid w:val="00B113EF"/>
    <w:rsid w:val="00B141B4"/>
    <w:rsid w:val="00B15742"/>
    <w:rsid w:val="00B1650D"/>
    <w:rsid w:val="00B17765"/>
    <w:rsid w:val="00B22087"/>
    <w:rsid w:val="00B22DA6"/>
    <w:rsid w:val="00B2374F"/>
    <w:rsid w:val="00B25854"/>
    <w:rsid w:val="00B33D4C"/>
    <w:rsid w:val="00B3404A"/>
    <w:rsid w:val="00B35332"/>
    <w:rsid w:val="00B36D14"/>
    <w:rsid w:val="00B37F7C"/>
    <w:rsid w:val="00B37FB4"/>
    <w:rsid w:val="00B406C4"/>
    <w:rsid w:val="00B410B1"/>
    <w:rsid w:val="00B4125F"/>
    <w:rsid w:val="00B41A68"/>
    <w:rsid w:val="00B4253D"/>
    <w:rsid w:val="00B42E63"/>
    <w:rsid w:val="00B44372"/>
    <w:rsid w:val="00B45036"/>
    <w:rsid w:val="00B45993"/>
    <w:rsid w:val="00B464EC"/>
    <w:rsid w:val="00B52A3B"/>
    <w:rsid w:val="00B54E83"/>
    <w:rsid w:val="00B55AE3"/>
    <w:rsid w:val="00B56FA1"/>
    <w:rsid w:val="00B605CE"/>
    <w:rsid w:val="00B60D25"/>
    <w:rsid w:val="00B61D9B"/>
    <w:rsid w:val="00B64E98"/>
    <w:rsid w:val="00B65A4A"/>
    <w:rsid w:val="00B6635A"/>
    <w:rsid w:val="00B66C16"/>
    <w:rsid w:val="00B70E84"/>
    <w:rsid w:val="00B739FA"/>
    <w:rsid w:val="00B73BFF"/>
    <w:rsid w:val="00B77B3E"/>
    <w:rsid w:val="00B80105"/>
    <w:rsid w:val="00B82836"/>
    <w:rsid w:val="00B85EF7"/>
    <w:rsid w:val="00B86BE3"/>
    <w:rsid w:val="00B87CE7"/>
    <w:rsid w:val="00B9085B"/>
    <w:rsid w:val="00B95FFE"/>
    <w:rsid w:val="00B9643E"/>
    <w:rsid w:val="00BA1D90"/>
    <w:rsid w:val="00BA3F13"/>
    <w:rsid w:val="00BA632C"/>
    <w:rsid w:val="00BA7555"/>
    <w:rsid w:val="00BB0AEC"/>
    <w:rsid w:val="00BB0F96"/>
    <w:rsid w:val="00BB53C0"/>
    <w:rsid w:val="00BB5768"/>
    <w:rsid w:val="00BB5DDA"/>
    <w:rsid w:val="00BB718B"/>
    <w:rsid w:val="00BC1548"/>
    <w:rsid w:val="00BC2C53"/>
    <w:rsid w:val="00BC3E1D"/>
    <w:rsid w:val="00BC6431"/>
    <w:rsid w:val="00BD2880"/>
    <w:rsid w:val="00BD2F7A"/>
    <w:rsid w:val="00BD2F98"/>
    <w:rsid w:val="00BD3960"/>
    <w:rsid w:val="00BD3B19"/>
    <w:rsid w:val="00BE0F65"/>
    <w:rsid w:val="00BE1294"/>
    <w:rsid w:val="00BE3969"/>
    <w:rsid w:val="00BE4AD8"/>
    <w:rsid w:val="00BE4DFE"/>
    <w:rsid w:val="00BE7652"/>
    <w:rsid w:val="00BF269D"/>
    <w:rsid w:val="00BF4A04"/>
    <w:rsid w:val="00BF4B17"/>
    <w:rsid w:val="00BF5276"/>
    <w:rsid w:val="00BF55FE"/>
    <w:rsid w:val="00BF5E59"/>
    <w:rsid w:val="00C02317"/>
    <w:rsid w:val="00C02857"/>
    <w:rsid w:val="00C0414C"/>
    <w:rsid w:val="00C1011C"/>
    <w:rsid w:val="00C10C59"/>
    <w:rsid w:val="00C10D71"/>
    <w:rsid w:val="00C11F87"/>
    <w:rsid w:val="00C131F6"/>
    <w:rsid w:val="00C1503E"/>
    <w:rsid w:val="00C163CB"/>
    <w:rsid w:val="00C16444"/>
    <w:rsid w:val="00C235A2"/>
    <w:rsid w:val="00C24EF8"/>
    <w:rsid w:val="00C252A7"/>
    <w:rsid w:val="00C30432"/>
    <w:rsid w:val="00C30BC5"/>
    <w:rsid w:val="00C312F1"/>
    <w:rsid w:val="00C31555"/>
    <w:rsid w:val="00C322F2"/>
    <w:rsid w:val="00C33BFF"/>
    <w:rsid w:val="00C34D59"/>
    <w:rsid w:val="00C36A0C"/>
    <w:rsid w:val="00C415EC"/>
    <w:rsid w:val="00C41997"/>
    <w:rsid w:val="00C42E10"/>
    <w:rsid w:val="00C4327D"/>
    <w:rsid w:val="00C4392B"/>
    <w:rsid w:val="00C452C2"/>
    <w:rsid w:val="00C46835"/>
    <w:rsid w:val="00C510E4"/>
    <w:rsid w:val="00C52E21"/>
    <w:rsid w:val="00C531DE"/>
    <w:rsid w:val="00C53261"/>
    <w:rsid w:val="00C54D77"/>
    <w:rsid w:val="00C56BC3"/>
    <w:rsid w:val="00C60283"/>
    <w:rsid w:val="00C61AB2"/>
    <w:rsid w:val="00C623E0"/>
    <w:rsid w:val="00C63E3E"/>
    <w:rsid w:val="00C647BE"/>
    <w:rsid w:val="00C66826"/>
    <w:rsid w:val="00C67A47"/>
    <w:rsid w:val="00C71A5A"/>
    <w:rsid w:val="00C75576"/>
    <w:rsid w:val="00C755D5"/>
    <w:rsid w:val="00C814A3"/>
    <w:rsid w:val="00C82039"/>
    <w:rsid w:val="00C82E10"/>
    <w:rsid w:val="00C83223"/>
    <w:rsid w:val="00C83E3A"/>
    <w:rsid w:val="00C84DEC"/>
    <w:rsid w:val="00C854EA"/>
    <w:rsid w:val="00C861FB"/>
    <w:rsid w:val="00C877EA"/>
    <w:rsid w:val="00C90015"/>
    <w:rsid w:val="00C9352A"/>
    <w:rsid w:val="00C93B9A"/>
    <w:rsid w:val="00C9562F"/>
    <w:rsid w:val="00CA1A1E"/>
    <w:rsid w:val="00CA2848"/>
    <w:rsid w:val="00CA3BFC"/>
    <w:rsid w:val="00CA4816"/>
    <w:rsid w:val="00CB0B00"/>
    <w:rsid w:val="00CB104E"/>
    <w:rsid w:val="00CB1ABF"/>
    <w:rsid w:val="00CB5D3E"/>
    <w:rsid w:val="00CB6903"/>
    <w:rsid w:val="00CB6FFC"/>
    <w:rsid w:val="00CB761D"/>
    <w:rsid w:val="00CC0DFD"/>
    <w:rsid w:val="00CC159D"/>
    <w:rsid w:val="00CC2362"/>
    <w:rsid w:val="00CC68B0"/>
    <w:rsid w:val="00CD0A83"/>
    <w:rsid w:val="00CD450A"/>
    <w:rsid w:val="00CD474B"/>
    <w:rsid w:val="00CE08BD"/>
    <w:rsid w:val="00CE489A"/>
    <w:rsid w:val="00CE4AAF"/>
    <w:rsid w:val="00CF0112"/>
    <w:rsid w:val="00CF4212"/>
    <w:rsid w:val="00CF7DC4"/>
    <w:rsid w:val="00D00DBC"/>
    <w:rsid w:val="00D017C1"/>
    <w:rsid w:val="00D01E9E"/>
    <w:rsid w:val="00D03504"/>
    <w:rsid w:val="00D05C96"/>
    <w:rsid w:val="00D06A29"/>
    <w:rsid w:val="00D07173"/>
    <w:rsid w:val="00D10B03"/>
    <w:rsid w:val="00D11431"/>
    <w:rsid w:val="00D13923"/>
    <w:rsid w:val="00D14C36"/>
    <w:rsid w:val="00D15B75"/>
    <w:rsid w:val="00D15D13"/>
    <w:rsid w:val="00D16A33"/>
    <w:rsid w:val="00D207AB"/>
    <w:rsid w:val="00D20D9F"/>
    <w:rsid w:val="00D21191"/>
    <w:rsid w:val="00D256F5"/>
    <w:rsid w:val="00D268B2"/>
    <w:rsid w:val="00D2697D"/>
    <w:rsid w:val="00D2728C"/>
    <w:rsid w:val="00D32EFC"/>
    <w:rsid w:val="00D373D0"/>
    <w:rsid w:val="00D42538"/>
    <w:rsid w:val="00D46177"/>
    <w:rsid w:val="00D50B6A"/>
    <w:rsid w:val="00D51971"/>
    <w:rsid w:val="00D522FF"/>
    <w:rsid w:val="00D52680"/>
    <w:rsid w:val="00D53758"/>
    <w:rsid w:val="00D54798"/>
    <w:rsid w:val="00D548C3"/>
    <w:rsid w:val="00D54F20"/>
    <w:rsid w:val="00D56947"/>
    <w:rsid w:val="00D575E1"/>
    <w:rsid w:val="00D60581"/>
    <w:rsid w:val="00D615EB"/>
    <w:rsid w:val="00D61A2E"/>
    <w:rsid w:val="00D6443D"/>
    <w:rsid w:val="00D725C3"/>
    <w:rsid w:val="00D72698"/>
    <w:rsid w:val="00D754FD"/>
    <w:rsid w:val="00D77DBC"/>
    <w:rsid w:val="00D83384"/>
    <w:rsid w:val="00D870E1"/>
    <w:rsid w:val="00D90072"/>
    <w:rsid w:val="00D907A0"/>
    <w:rsid w:val="00D907C3"/>
    <w:rsid w:val="00D9680B"/>
    <w:rsid w:val="00D9735C"/>
    <w:rsid w:val="00DA1339"/>
    <w:rsid w:val="00DA2D97"/>
    <w:rsid w:val="00DA59B8"/>
    <w:rsid w:val="00DA67C5"/>
    <w:rsid w:val="00DA7649"/>
    <w:rsid w:val="00DB3472"/>
    <w:rsid w:val="00DB354E"/>
    <w:rsid w:val="00DB3761"/>
    <w:rsid w:val="00DB62BB"/>
    <w:rsid w:val="00DB6996"/>
    <w:rsid w:val="00DB6DE9"/>
    <w:rsid w:val="00DB7250"/>
    <w:rsid w:val="00DB7855"/>
    <w:rsid w:val="00DB794C"/>
    <w:rsid w:val="00DC1C13"/>
    <w:rsid w:val="00DC1E1F"/>
    <w:rsid w:val="00DC2C36"/>
    <w:rsid w:val="00DC2C84"/>
    <w:rsid w:val="00DC4306"/>
    <w:rsid w:val="00DC5A4D"/>
    <w:rsid w:val="00DC63A2"/>
    <w:rsid w:val="00DD21C4"/>
    <w:rsid w:val="00DD348F"/>
    <w:rsid w:val="00DD42CC"/>
    <w:rsid w:val="00DD66AE"/>
    <w:rsid w:val="00DD6D03"/>
    <w:rsid w:val="00DD75B8"/>
    <w:rsid w:val="00DE0284"/>
    <w:rsid w:val="00DE125A"/>
    <w:rsid w:val="00DE1998"/>
    <w:rsid w:val="00DE199D"/>
    <w:rsid w:val="00DE2EE8"/>
    <w:rsid w:val="00DE552E"/>
    <w:rsid w:val="00DF2F58"/>
    <w:rsid w:val="00DF4817"/>
    <w:rsid w:val="00DF504E"/>
    <w:rsid w:val="00E009CF"/>
    <w:rsid w:val="00E019AD"/>
    <w:rsid w:val="00E01E2E"/>
    <w:rsid w:val="00E02427"/>
    <w:rsid w:val="00E028EC"/>
    <w:rsid w:val="00E02E56"/>
    <w:rsid w:val="00E0314C"/>
    <w:rsid w:val="00E10E38"/>
    <w:rsid w:val="00E12097"/>
    <w:rsid w:val="00E13B38"/>
    <w:rsid w:val="00E16E14"/>
    <w:rsid w:val="00E20619"/>
    <w:rsid w:val="00E209DD"/>
    <w:rsid w:val="00E20F3D"/>
    <w:rsid w:val="00E2205E"/>
    <w:rsid w:val="00E24EEB"/>
    <w:rsid w:val="00E302F4"/>
    <w:rsid w:val="00E31120"/>
    <w:rsid w:val="00E3182A"/>
    <w:rsid w:val="00E34D04"/>
    <w:rsid w:val="00E35859"/>
    <w:rsid w:val="00E37F41"/>
    <w:rsid w:val="00E41282"/>
    <w:rsid w:val="00E436E3"/>
    <w:rsid w:val="00E460B7"/>
    <w:rsid w:val="00E51955"/>
    <w:rsid w:val="00E5206A"/>
    <w:rsid w:val="00E523A9"/>
    <w:rsid w:val="00E523D0"/>
    <w:rsid w:val="00E5368F"/>
    <w:rsid w:val="00E538A8"/>
    <w:rsid w:val="00E55B61"/>
    <w:rsid w:val="00E6138E"/>
    <w:rsid w:val="00E62C6F"/>
    <w:rsid w:val="00E62E40"/>
    <w:rsid w:val="00E67389"/>
    <w:rsid w:val="00E72CED"/>
    <w:rsid w:val="00E7569F"/>
    <w:rsid w:val="00E7579E"/>
    <w:rsid w:val="00E777F5"/>
    <w:rsid w:val="00E80521"/>
    <w:rsid w:val="00E80780"/>
    <w:rsid w:val="00E80D9E"/>
    <w:rsid w:val="00E81410"/>
    <w:rsid w:val="00E912FF"/>
    <w:rsid w:val="00E9279B"/>
    <w:rsid w:val="00E928B7"/>
    <w:rsid w:val="00E97E10"/>
    <w:rsid w:val="00EA11E1"/>
    <w:rsid w:val="00EA1748"/>
    <w:rsid w:val="00EA544B"/>
    <w:rsid w:val="00EA63A4"/>
    <w:rsid w:val="00EA70C6"/>
    <w:rsid w:val="00EB032E"/>
    <w:rsid w:val="00EB19BD"/>
    <w:rsid w:val="00EB26BF"/>
    <w:rsid w:val="00EB4137"/>
    <w:rsid w:val="00EB511F"/>
    <w:rsid w:val="00EC0616"/>
    <w:rsid w:val="00EC06EE"/>
    <w:rsid w:val="00EC105F"/>
    <w:rsid w:val="00EC2B7F"/>
    <w:rsid w:val="00EC353D"/>
    <w:rsid w:val="00EC4EE2"/>
    <w:rsid w:val="00EC5B6A"/>
    <w:rsid w:val="00ED0B50"/>
    <w:rsid w:val="00ED1603"/>
    <w:rsid w:val="00ED1A8D"/>
    <w:rsid w:val="00ED2198"/>
    <w:rsid w:val="00ED2FD8"/>
    <w:rsid w:val="00ED346F"/>
    <w:rsid w:val="00ED55EF"/>
    <w:rsid w:val="00ED57C1"/>
    <w:rsid w:val="00EE0B2A"/>
    <w:rsid w:val="00EE7BB7"/>
    <w:rsid w:val="00EF24EC"/>
    <w:rsid w:val="00EF3DDF"/>
    <w:rsid w:val="00EF4952"/>
    <w:rsid w:val="00EF54F2"/>
    <w:rsid w:val="00EF62E9"/>
    <w:rsid w:val="00EF7572"/>
    <w:rsid w:val="00F03043"/>
    <w:rsid w:val="00F04F6B"/>
    <w:rsid w:val="00F0717B"/>
    <w:rsid w:val="00F071AB"/>
    <w:rsid w:val="00F10E68"/>
    <w:rsid w:val="00F12012"/>
    <w:rsid w:val="00F12A60"/>
    <w:rsid w:val="00F1463D"/>
    <w:rsid w:val="00F16A1C"/>
    <w:rsid w:val="00F16AC2"/>
    <w:rsid w:val="00F16CC7"/>
    <w:rsid w:val="00F20874"/>
    <w:rsid w:val="00F22434"/>
    <w:rsid w:val="00F22F2B"/>
    <w:rsid w:val="00F23806"/>
    <w:rsid w:val="00F257F6"/>
    <w:rsid w:val="00F25A3E"/>
    <w:rsid w:val="00F276EE"/>
    <w:rsid w:val="00F27E9F"/>
    <w:rsid w:val="00F30E59"/>
    <w:rsid w:val="00F31882"/>
    <w:rsid w:val="00F3247C"/>
    <w:rsid w:val="00F3406A"/>
    <w:rsid w:val="00F36E45"/>
    <w:rsid w:val="00F37233"/>
    <w:rsid w:val="00F41EAA"/>
    <w:rsid w:val="00F45FD1"/>
    <w:rsid w:val="00F477E6"/>
    <w:rsid w:val="00F51089"/>
    <w:rsid w:val="00F533B2"/>
    <w:rsid w:val="00F552AD"/>
    <w:rsid w:val="00F57CF9"/>
    <w:rsid w:val="00F57D37"/>
    <w:rsid w:val="00F60157"/>
    <w:rsid w:val="00F6015B"/>
    <w:rsid w:val="00F60506"/>
    <w:rsid w:val="00F60B11"/>
    <w:rsid w:val="00F615DD"/>
    <w:rsid w:val="00F61E70"/>
    <w:rsid w:val="00F661F5"/>
    <w:rsid w:val="00F6682E"/>
    <w:rsid w:val="00F67570"/>
    <w:rsid w:val="00F70E88"/>
    <w:rsid w:val="00F71F0C"/>
    <w:rsid w:val="00F73FB8"/>
    <w:rsid w:val="00F75323"/>
    <w:rsid w:val="00F756E2"/>
    <w:rsid w:val="00F756EF"/>
    <w:rsid w:val="00F76CB9"/>
    <w:rsid w:val="00F77062"/>
    <w:rsid w:val="00F771F3"/>
    <w:rsid w:val="00F8078A"/>
    <w:rsid w:val="00F80D3F"/>
    <w:rsid w:val="00F82CCE"/>
    <w:rsid w:val="00F85819"/>
    <w:rsid w:val="00F8581A"/>
    <w:rsid w:val="00F85E09"/>
    <w:rsid w:val="00F9037F"/>
    <w:rsid w:val="00F91885"/>
    <w:rsid w:val="00F94526"/>
    <w:rsid w:val="00F94973"/>
    <w:rsid w:val="00F9511F"/>
    <w:rsid w:val="00F96921"/>
    <w:rsid w:val="00FA1F31"/>
    <w:rsid w:val="00FA3681"/>
    <w:rsid w:val="00FA5465"/>
    <w:rsid w:val="00FA6C0F"/>
    <w:rsid w:val="00FB228A"/>
    <w:rsid w:val="00FB247F"/>
    <w:rsid w:val="00FB3721"/>
    <w:rsid w:val="00FB3F7E"/>
    <w:rsid w:val="00FB4975"/>
    <w:rsid w:val="00FB60B0"/>
    <w:rsid w:val="00FC14E4"/>
    <w:rsid w:val="00FC2921"/>
    <w:rsid w:val="00FC36FE"/>
    <w:rsid w:val="00FC4FED"/>
    <w:rsid w:val="00FC645F"/>
    <w:rsid w:val="00FC79C9"/>
    <w:rsid w:val="00FD0C20"/>
    <w:rsid w:val="00FD0C6A"/>
    <w:rsid w:val="00FD2BB5"/>
    <w:rsid w:val="00FD2EDA"/>
    <w:rsid w:val="00FD5B75"/>
    <w:rsid w:val="00FD6140"/>
    <w:rsid w:val="00FE30F4"/>
    <w:rsid w:val="00FE45A4"/>
    <w:rsid w:val="00FE491C"/>
    <w:rsid w:val="00FE5BBF"/>
    <w:rsid w:val="00FE6867"/>
    <w:rsid w:val="00FE7749"/>
    <w:rsid w:val="00FF286B"/>
    <w:rsid w:val="00FF30EE"/>
    <w:rsid w:val="00FF3E2A"/>
    <w:rsid w:val="00FF4C28"/>
    <w:rsid w:val="00FF517B"/>
    <w:rsid w:val="00FF6508"/>
    <w:rsid w:val="00FF69AE"/>
    <w:rsid w:val="017851D1"/>
    <w:rsid w:val="02556FC6"/>
    <w:rsid w:val="029F496B"/>
    <w:rsid w:val="02C22C25"/>
    <w:rsid w:val="035832F9"/>
    <w:rsid w:val="035E605D"/>
    <w:rsid w:val="03621589"/>
    <w:rsid w:val="037C1447"/>
    <w:rsid w:val="03CF40CB"/>
    <w:rsid w:val="03CF5631"/>
    <w:rsid w:val="04832D5A"/>
    <w:rsid w:val="04BB5931"/>
    <w:rsid w:val="059903AD"/>
    <w:rsid w:val="06DF0467"/>
    <w:rsid w:val="06F11097"/>
    <w:rsid w:val="07AB2082"/>
    <w:rsid w:val="08B55A96"/>
    <w:rsid w:val="08F63B81"/>
    <w:rsid w:val="0AAA1008"/>
    <w:rsid w:val="0BCE6E30"/>
    <w:rsid w:val="0C4C2935"/>
    <w:rsid w:val="0C563B40"/>
    <w:rsid w:val="0C76379A"/>
    <w:rsid w:val="0C7D4F1C"/>
    <w:rsid w:val="0D210DDB"/>
    <w:rsid w:val="0D837D9E"/>
    <w:rsid w:val="0DA202C3"/>
    <w:rsid w:val="0DC016AC"/>
    <w:rsid w:val="0DDB493A"/>
    <w:rsid w:val="0DED3494"/>
    <w:rsid w:val="0E3A39AC"/>
    <w:rsid w:val="0E7A0DBD"/>
    <w:rsid w:val="0E9737F7"/>
    <w:rsid w:val="0EB75381"/>
    <w:rsid w:val="0FB76A0A"/>
    <w:rsid w:val="0FC97E23"/>
    <w:rsid w:val="0FFD518A"/>
    <w:rsid w:val="10134C6B"/>
    <w:rsid w:val="10AF76DA"/>
    <w:rsid w:val="10D85B31"/>
    <w:rsid w:val="110A7404"/>
    <w:rsid w:val="11417586"/>
    <w:rsid w:val="115B6251"/>
    <w:rsid w:val="14CC6785"/>
    <w:rsid w:val="15C01599"/>
    <w:rsid w:val="15C04123"/>
    <w:rsid w:val="165E7CFD"/>
    <w:rsid w:val="16AF66A1"/>
    <w:rsid w:val="16B25517"/>
    <w:rsid w:val="16E9591D"/>
    <w:rsid w:val="175728CB"/>
    <w:rsid w:val="180008D2"/>
    <w:rsid w:val="18073B48"/>
    <w:rsid w:val="18331A6A"/>
    <w:rsid w:val="183F2A21"/>
    <w:rsid w:val="18B56CD0"/>
    <w:rsid w:val="18D03F29"/>
    <w:rsid w:val="19127EA3"/>
    <w:rsid w:val="19A2416F"/>
    <w:rsid w:val="19BC0282"/>
    <w:rsid w:val="19D97446"/>
    <w:rsid w:val="1A7D0E5F"/>
    <w:rsid w:val="1B0D5B20"/>
    <w:rsid w:val="1BF654CF"/>
    <w:rsid w:val="1C4A2B56"/>
    <w:rsid w:val="1D736683"/>
    <w:rsid w:val="1DD96EE1"/>
    <w:rsid w:val="1EAE0355"/>
    <w:rsid w:val="1EEC5449"/>
    <w:rsid w:val="1F154F94"/>
    <w:rsid w:val="1F901A0D"/>
    <w:rsid w:val="20515638"/>
    <w:rsid w:val="207E4C10"/>
    <w:rsid w:val="210D385C"/>
    <w:rsid w:val="219B267E"/>
    <w:rsid w:val="21C31DDE"/>
    <w:rsid w:val="220D6BFE"/>
    <w:rsid w:val="22514824"/>
    <w:rsid w:val="230D5E5D"/>
    <w:rsid w:val="23121E9E"/>
    <w:rsid w:val="23A10B26"/>
    <w:rsid w:val="23B76F5E"/>
    <w:rsid w:val="23D13ACD"/>
    <w:rsid w:val="23D747D2"/>
    <w:rsid w:val="24045733"/>
    <w:rsid w:val="24870207"/>
    <w:rsid w:val="24D46CDA"/>
    <w:rsid w:val="25141DA9"/>
    <w:rsid w:val="26D73D23"/>
    <w:rsid w:val="27F01676"/>
    <w:rsid w:val="28085297"/>
    <w:rsid w:val="28754736"/>
    <w:rsid w:val="296C5394"/>
    <w:rsid w:val="2A075558"/>
    <w:rsid w:val="2A1A5F99"/>
    <w:rsid w:val="2ACA68CA"/>
    <w:rsid w:val="2B353913"/>
    <w:rsid w:val="2B4A1459"/>
    <w:rsid w:val="2BDF7839"/>
    <w:rsid w:val="2C2F171F"/>
    <w:rsid w:val="2C5E5CBB"/>
    <w:rsid w:val="2C874BAA"/>
    <w:rsid w:val="2CBD1C26"/>
    <w:rsid w:val="2CE16819"/>
    <w:rsid w:val="2D3935D0"/>
    <w:rsid w:val="2E080847"/>
    <w:rsid w:val="2E1F3E24"/>
    <w:rsid w:val="2E871190"/>
    <w:rsid w:val="2E936663"/>
    <w:rsid w:val="2F9565BA"/>
    <w:rsid w:val="30692C31"/>
    <w:rsid w:val="30BA09C3"/>
    <w:rsid w:val="30BC4735"/>
    <w:rsid w:val="30C77BE7"/>
    <w:rsid w:val="31042F4F"/>
    <w:rsid w:val="31653F59"/>
    <w:rsid w:val="31E27845"/>
    <w:rsid w:val="323808A8"/>
    <w:rsid w:val="324D4A54"/>
    <w:rsid w:val="328E4FBA"/>
    <w:rsid w:val="32972DD9"/>
    <w:rsid w:val="32B3115B"/>
    <w:rsid w:val="32C86333"/>
    <w:rsid w:val="32CC7E1C"/>
    <w:rsid w:val="32DA1F5D"/>
    <w:rsid w:val="33036724"/>
    <w:rsid w:val="331920CD"/>
    <w:rsid w:val="337E62A9"/>
    <w:rsid w:val="33FC5905"/>
    <w:rsid w:val="34AA56F9"/>
    <w:rsid w:val="34CD0EEF"/>
    <w:rsid w:val="34D429B6"/>
    <w:rsid w:val="35110C3A"/>
    <w:rsid w:val="35AE31D2"/>
    <w:rsid w:val="375E1D47"/>
    <w:rsid w:val="37903BCA"/>
    <w:rsid w:val="37A959BA"/>
    <w:rsid w:val="385F7691"/>
    <w:rsid w:val="38F46DFD"/>
    <w:rsid w:val="39180A80"/>
    <w:rsid w:val="39746315"/>
    <w:rsid w:val="397C214E"/>
    <w:rsid w:val="3A175D25"/>
    <w:rsid w:val="3A556BAE"/>
    <w:rsid w:val="3A735E26"/>
    <w:rsid w:val="3AF8576D"/>
    <w:rsid w:val="3B1219E0"/>
    <w:rsid w:val="3B6322C1"/>
    <w:rsid w:val="3BEF0A1E"/>
    <w:rsid w:val="3CC536DF"/>
    <w:rsid w:val="3CD86708"/>
    <w:rsid w:val="3D144418"/>
    <w:rsid w:val="3DA4364F"/>
    <w:rsid w:val="3DAC10E3"/>
    <w:rsid w:val="3E2772A6"/>
    <w:rsid w:val="3E3905E8"/>
    <w:rsid w:val="3E7562A2"/>
    <w:rsid w:val="3F171EE3"/>
    <w:rsid w:val="3F1D717B"/>
    <w:rsid w:val="3F883215"/>
    <w:rsid w:val="3F937AE8"/>
    <w:rsid w:val="3FCB1F2D"/>
    <w:rsid w:val="4072263A"/>
    <w:rsid w:val="419756A2"/>
    <w:rsid w:val="41A72545"/>
    <w:rsid w:val="42A21771"/>
    <w:rsid w:val="43A75686"/>
    <w:rsid w:val="43E05643"/>
    <w:rsid w:val="44AA4318"/>
    <w:rsid w:val="45DC7BBC"/>
    <w:rsid w:val="45E96157"/>
    <w:rsid w:val="463F2369"/>
    <w:rsid w:val="467B35F5"/>
    <w:rsid w:val="47B31D60"/>
    <w:rsid w:val="4834371C"/>
    <w:rsid w:val="489F2AA0"/>
    <w:rsid w:val="48CF10F6"/>
    <w:rsid w:val="490879DD"/>
    <w:rsid w:val="49A35B77"/>
    <w:rsid w:val="4A877461"/>
    <w:rsid w:val="4AB012E0"/>
    <w:rsid w:val="4B3C4AA8"/>
    <w:rsid w:val="4B6E10C6"/>
    <w:rsid w:val="4C7F08B6"/>
    <w:rsid w:val="4C864CC2"/>
    <w:rsid w:val="4CF779CB"/>
    <w:rsid w:val="4EE565D1"/>
    <w:rsid w:val="4F3C4E87"/>
    <w:rsid w:val="50AB61A0"/>
    <w:rsid w:val="50D547B7"/>
    <w:rsid w:val="5155011F"/>
    <w:rsid w:val="515663EE"/>
    <w:rsid w:val="52144B20"/>
    <w:rsid w:val="52431F69"/>
    <w:rsid w:val="52B01401"/>
    <w:rsid w:val="531567D0"/>
    <w:rsid w:val="53EF07DA"/>
    <w:rsid w:val="540E6F94"/>
    <w:rsid w:val="548D3AA5"/>
    <w:rsid w:val="551D1EE7"/>
    <w:rsid w:val="55A0277A"/>
    <w:rsid w:val="57372FA5"/>
    <w:rsid w:val="574A7CAE"/>
    <w:rsid w:val="585A6A86"/>
    <w:rsid w:val="59BA7F3C"/>
    <w:rsid w:val="59BB5AE4"/>
    <w:rsid w:val="59F36847"/>
    <w:rsid w:val="5A1D6981"/>
    <w:rsid w:val="5A4715F0"/>
    <w:rsid w:val="5AD02521"/>
    <w:rsid w:val="5B6F729C"/>
    <w:rsid w:val="5BFF107C"/>
    <w:rsid w:val="5C2661B3"/>
    <w:rsid w:val="5C4C59D2"/>
    <w:rsid w:val="5C765A98"/>
    <w:rsid w:val="5CBF60C4"/>
    <w:rsid w:val="5D7816F3"/>
    <w:rsid w:val="5D8628A3"/>
    <w:rsid w:val="5DDE3D97"/>
    <w:rsid w:val="5DDF6DD0"/>
    <w:rsid w:val="5DE3346C"/>
    <w:rsid w:val="5DE766B3"/>
    <w:rsid w:val="5E1F5AD8"/>
    <w:rsid w:val="5E4926C0"/>
    <w:rsid w:val="5EBF0D78"/>
    <w:rsid w:val="5EC10C83"/>
    <w:rsid w:val="5EC8665B"/>
    <w:rsid w:val="5F7933E0"/>
    <w:rsid w:val="5F817DD3"/>
    <w:rsid w:val="600406DD"/>
    <w:rsid w:val="600F7654"/>
    <w:rsid w:val="605B590A"/>
    <w:rsid w:val="60D65417"/>
    <w:rsid w:val="610E6018"/>
    <w:rsid w:val="620D44CC"/>
    <w:rsid w:val="63270776"/>
    <w:rsid w:val="643A0A31"/>
    <w:rsid w:val="64411857"/>
    <w:rsid w:val="64DA46C6"/>
    <w:rsid w:val="65186651"/>
    <w:rsid w:val="654907AA"/>
    <w:rsid w:val="65C554F2"/>
    <w:rsid w:val="65D93859"/>
    <w:rsid w:val="663C2B69"/>
    <w:rsid w:val="66420EB0"/>
    <w:rsid w:val="67B45378"/>
    <w:rsid w:val="67D51E17"/>
    <w:rsid w:val="67E87DA3"/>
    <w:rsid w:val="68505132"/>
    <w:rsid w:val="68852E42"/>
    <w:rsid w:val="68B12170"/>
    <w:rsid w:val="691B590A"/>
    <w:rsid w:val="698C51D2"/>
    <w:rsid w:val="69F642D4"/>
    <w:rsid w:val="6A66189D"/>
    <w:rsid w:val="6CD02BD6"/>
    <w:rsid w:val="6E54387F"/>
    <w:rsid w:val="6EA7262C"/>
    <w:rsid w:val="6EAA681D"/>
    <w:rsid w:val="6F2B09AA"/>
    <w:rsid w:val="6F4E6EBE"/>
    <w:rsid w:val="6F6230D8"/>
    <w:rsid w:val="6F7F06DE"/>
    <w:rsid w:val="6FB15A7F"/>
    <w:rsid w:val="70224F2A"/>
    <w:rsid w:val="70406EDD"/>
    <w:rsid w:val="712E5F00"/>
    <w:rsid w:val="715A1E68"/>
    <w:rsid w:val="71904BB4"/>
    <w:rsid w:val="71E81DA5"/>
    <w:rsid w:val="729B06AD"/>
    <w:rsid w:val="73275BEC"/>
    <w:rsid w:val="73353A6C"/>
    <w:rsid w:val="73644E26"/>
    <w:rsid w:val="73C24214"/>
    <w:rsid w:val="740D00E6"/>
    <w:rsid w:val="74D97B56"/>
    <w:rsid w:val="754340BC"/>
    <w:rsid w:val="75E00CB7"/>
    <w:rsid w:val="76121488"/>
    <w:rsid w:val="76B60F45"/>
    <w:rsid w:val="774306B0"/>
    <w:rsid w:val="7743735F"/>
    <w:rsid w:val="77560E78"/>
    <w:rsid w:val="775D0142"/>
    <w:rsid w:val="776205A7"/>
    <w:rsid w:val="77C05D45"/>
    <w:rsid w:val="788A6457"/>
    <w:rsid w:val="79B917E4"/>
    <w:rsid w:val="79FA53D1"/>
    <w:rsid w:val="7B166757"/>
    <w:rsid w:val="7B474109"/>
    <w:rsid w:val="7C673A56"/>
    <w:rsid w:val="7C7A6005"/>
    <w:rsid w:val="7CA52CB7"/>
    <w:rsid w:val="7D04353A"/>
    <w:rsid w:val="7D962DA9"/>
    <w:rsid w:val="7D993053"/>
    <w:rsid w:val="7D9C6A88"/>
    <w:rsid w:val="7DE93859"/>
    <w:rsid w:val="7E153D28"/>
    <w:rsid w:val="7E432AC3"/>
    <w:rsid w:val="7E64375D"/>
    <w:rsid w:val="7F3B3366"/>
    <w:rsid w:val="7F8200A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nhideWhenUsed="0" w:uiPriority="0" w:semiHidden="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12" w:lineRule="auto"/>
      <w:ind w:firstLine="560" w:firstLineChars="200"/>
      <w:jc w:val="both"/>
    </w:pPr>
    <w:rPr>
      <w:rFonts w:ascii="Times New Roman" w:hAnsi="Times New Roman" w:eastAsia="仿宋" w:cs="Times New Roman"/>
      <w:kern w:val="2"/>
      <w:sz w:val="24"/>
      <w:szCs w:val="24"/>
      <w:lang w:val="en-US" w:eastAsia="zh-CN" w:bidi="ar-SA"/>
    </w:rPr>
  </w:style>
  <w:style w:type="paragraph" w:styleId="2">
    <w:name w:val="heading 1"/>
    <w:basedOn w:val="3"/>
    <w:next w:val="3"/>
    <w:link w:val="33"/>
    <w:qFormat/>
    <w:uiPriority w:val="0"/>
    <w:pPr>
      <w:keepNext/>
      <w:keepLines/>
      <w:spacing w:line="240" w:lineRule="auto"/>
      <w:ind w:firstLine="0" w:firstLineChars="0"/>
      <w:jc w:val="left"/>
      <w:outlineLvl w:val="0"/>
    </w:pPr>
    <w:rPr>
      <w:rFonts w:ascii="Calibri" w:hAnsi="Calibri" w:eastAsia="宋体"/>
      <w:b/>
      <w:bCs/>
      <w:kern w:val="44"/>
      <w:sz w:val="32"/>
      <w:szCs w:val="44"/>
    </w:rPr>
  </w:style>
  <w:style w:type="paragraph" w:styleId="4">
    <w:name w:val="heading 2"/>
    <w:basedOn w:val="1"/>
    <w:next w:val="1"/>
    <w:qFormat/>
    <w:uiPriority w:val="0"/>
    <w:pPr>
      <w:keepNext/>
      <w:keepLines/>
      <w:spacing w:line="240" w:lineRule="auto"/>
      <w:ind w:firstLine="0" w:firstLineChars="0"/>
      <w:outlineLvl w:val="1"/>
    </w:pPr>
    <w:rPr>
      <w:rFonts w:ascii="Calibri" w:hAnsi="Calibri"/>
      <w:b/>
      <w:sz w:val="28"/>
    </w:rPr>
  </w:style>
  <w:style w:type="paragraph" w:styleId="5">
    <w:name w:val="heading 3"/>
    <w:basedOn w:val="1"/>
    <w:next w:val="1"/>
    <w:qFormat/>
    <w:uiPriority w:val="0"/>
    <w:pPr>
      <w:keepNext/>
      <w:keepLines/>
      <w:spacing w:line="240" w:lineRule="auto"/>
      <w:ind w:firstLine="0" w:firstLineChars="0"/>
      <w:outlineLvl w:val="2"/>
    </w:pPr>
    <w:rPr>
      <w:b/>
    </w:rPr>
  </w:style>
  <w:style w:type="paragraph" w:styleId="6">
    <w:name w:val="heading 8"/>
    <w:basedOn w:val="1"/>
    <w:next w:val="7"/>
    <w:qFormat/>
    <w:uiPriority w:val="0"/>
    <w:pPr>
      <w:keepNext/>
      <w:keepLines/>
      <w:numPr>
        <w:ilvl w:val="7"/>
        <w:numId w:val="1"/>
      </w:numPr>
      <w:spacing w:before="240" w:after="64" w:line="320" w:lineRule="auto"/>
      <w:outlineLvl w:val="7"/>
    </w:pPr>
    <w:rPr>
      <w:rFonts w:ascii="Arial" w:hAnsi="Arial" w:eastAsia="黑体"/>
      <w:sz w:val="24"/>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35"/>
    <w:qFormat/>
    <w:uiPriority w:val="0"/>
    <w:pPr>
      <w:jc w:val="center"/>
    </w:pPr>
  </w:style>
  <w:style w:type="paragraph" w:styleId="7">
    <w:name w:val="Normal Indent"/>
    <w:basedOn w:val="1"/>
    <w:unhideWhenUsed/>
    <w:qFormat/>
    <w:uiPriority w:val="99"/>
    <w:pPr>
      <w:ind w:firstLine="420"/>
    </w:pPr>
  </w:style>
  <w:style w:type="paragraph" w:styleId="8">
    <w:name w:val="toc 7"/>
    <w:basedOn w:val="1"/>
    <w:next w:val="1"/>
    <w:qFormat/>
    <w:uiPriority w:val="0"/>
    <w:pPr>
      <w:ind w:left="2520" w:leftChars="1200"/>
    </w:pPr>
  </w:style>
  <w:style w:type="paragraph" w:styleId="9">
    <w:name w:val="annotation text"/>
    <w:basedOn w:val="1"/>
    <w:qFormat/>
    <w:uiPriority w:val="0"/>
    <w:pPr>
      <w:jc w:val="left"/>
    </w:pPr>
  </w:style>
  <w:style w:type="paragraph" w:styleId="10">
    <w:name w:val="Body Text Indent"/>
    <w:basedOn w:val="1"/>
    <w:qFormat/>
    <w:uiPriority w:val="0"/>
    <w:pPr>
      <w:snapToGrid w:val="0"/>
      <w:spacing w:line="360" w:lineRule="auto"/>
      <w:ind w:firstLine="200" w:firstLineChars="200"/>
    </w:pPr>
    <w:rPr>
      <w:rFonts w:ascii="仿宋_GB2312" w:hAnsi="宋体" w:eastAsia="仿宋_GB2312"/>
      <w:color w:val="000000"/>
      <w:kern w:val="0"/>
      <w:sz w:val="28"/>
      <w:szCs w:val="28"/>
    </w:rPr>
  </w:style>
  <w:style w:type="paragraph" w:styleId="11">
    <w:name w:val="toc 5"/>
    <w:basedOn w:val="1"/>
    <w:next w:val="1"/>
    <w:qFormat/>
    <w:uiPriority w:val="0"/>
    <w:pPr>
      <w:ind w:left="1680" w:leftChars="800"/>
    </w:pPr>
  </w:style>
  <w:style w:type="paragraph" w:styleId="12">
    <w:name w:val="toc 3"/>
    <w:basedOn w:val="1"/>
    <w:next w:val="1"/>
    <w:qFormat/>
    <w:uiPriority w:val="39"/>
    <w:pPr>
      <w:ind w:left="840" w:leftChars="400"/>
    </w:pPr>
  </w:style>
  <w:style w:type="paragraph" w:styleId="13">
    <w:name w:val="Plain Text"/>
    <w:basedOn w:val="1"/>
    <w:link w:val="39"/>
    <w:unhideWhenUsed/>
    <w:qFormat/>
    <w:uiPriority w:val="0"/>
    <w:pPr>
      <w:spacing w:line="240" w:lineRule="auto"/>
      <w:ind w:firstLine="0" w:firstLineChars="0"/>
    </w:pPr>
    <w:rPr>
      <w:rFonts w:ascii="宋体" w:hAnsi="Courier New" w:eastAsia="宋体" w:cs="Courier New"/>
      <w:sz w:val="21"/>
      <w:szCs w:val="21"/>
    </w:rPr>
  </w:style>
  <w:style w:type="paragraph" w:styleId="14">
    <w:name w:val="toc 8"/>
    <w:basedOn w:val="1"/>
    <w:next w:val="1"/>
    <w:qFormat/>
    <w:uiPriority w:val="0"/>
    <w:pPr>
      <w:ind w:left="2940" w:leftChars="1400"/>
    </w:pPr>
  </w:style>
  <w:style w:type="paragraph" w:styleId="15">
    <w:name w:val="Balloon Text"/>
    <w:basedOn w:val="1"/>
    <w:link w:val="36"/>
    <w:qFormat/>
    <w:uiPriority w:val="0"/>
    <w:pPr>
      <w:spacing w:line="240" w:lineRule="auto"/>
    </w:pPr>
    <w:rPr>
      <w:sz w:val="18"/>
      <w:szCs w:val="18"/>
    </w:rPr>
  </w:style>
  <w:style w:type="paragraph" w:styleId="16">
    <w:name w:val="footer"/>
    <w:basedOn w:val="1"/>
    <w:link w:val="38"/>
    <w:qFormat/>
    <w:uiPriority w:val="99"/>
    <w:pPr>
      <w:tabs>
        <w:tab w:val="center" w:pos="4153"/>
        <w:tab w:val="right" w:pos="8306"/>
      </w:tabs>
      <w:snapToGrid w:val="0"/>
      <w:jc w:val="left"/>
    </w:pPr>
    <w:rPr>
      <w:sz w:val="18"/>
    </w:rPr>
  </w:style>
  <w:style w:type="paragraph" w:styleId="17">
    <w:name w:val="header"/>
    <w:basedOn w:val="1"/>
    <w:link w:val="37"/>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8">
    <w:name w:val="toc 1"/>
    <w:basedOn w:val="1"/>
    <w:next w:val="1"/>
    <w:qFormat/>
    <w:uiPriority w:val="39"/>
  </w:style>
  <w:style w:type="paragraph" w:styleId="19">
    <w:name w:val="toc 4"/>
    <w:basedOn w:val="1"/>
    <w:next w:val="1"/>
    <w:qFormat/>
    <w:uiPriority w:val="0"/>
    <w:pPr>
      <w:ind w:left="1260" w:leftChars="600"/>
    </w:pPr>
  </w:style>
  <w:style w:type="paragraph" w:styleId="20">
    <w:name w:val="toc 6"/>
    <w:basedOn w:val="1"/>
    <w:next w:val="1"/>
    <w:qFormat/>
    <w:uiPriority w:val="0"/>
    <w:pPr>
      <w:ind w:left="2100" w:leftChars="1000"/>
    </w:pPr>
  </w:style>
  <w:style w:type="paragraph" w:styleId="21">
    <w:name w:val="toc 2"/>
    <w:basedOn w:val="1"/>
    <w:next w:val="1"/>
    <w:qFormat/>
    <w:uiPriority w:val="39"/>
    <w:pPr>
      <w:ind w:left="420" w:leftChars="200"/>
    </w:pPr>
  </w:style>
  <w:style w:type="paragraph" w:styleId="22">
    <w:name w:val="toc 9"/>
    <w:basedOn w:val="1"/>
    <w:next w:val="1"/>
    <w:qFormat/>
    <w:uiPriority w:val="0"/>
    <w:pPr>
      <w:ind w:left="3360" w:leftChars="1600"/>
    </w:p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6">
    <w:name w:val="Hyperlink"/>
    <w:basedOn w:val="25"/>
    <w:qFormat/>
    <w:uiPriority w:val="99"/>
    <w:rPr>
      <w:color w:val="0000FF" w:themeColor="hyperlink"/>
      <w:u w:val="single"/>
      <w14:textFill>
        <w14:solidFill>
          <w14:schemeClr w14:val="hlink"/>
        </w14:solidFill>
      </w14:textFill>
    </w:rPr>
  </w:style>
  <w:style w:type="character" w:styleId="27">
    <w:name w:val="annotation reference"/>
    <w:basedOn w:val="25"/>
    <w:qFormat/>
    <w:uiPriority w:val="0"/>
    <w:rPr>
      <w:sz w:val="21"/>
      <w:szCs w:val="21"/>
    </w:rPr>
  </w:style>
  <w:style w:type="paragraph" w:customStyle="1" w:styleId="28">
    <w:name w:val="PlainText"/>
    <w:basedOn w:val="1"/>
    <w:qFormat/>
    <w:uiPriority w:val="0"/>
    <w:pPr>
      <w:spacing w:line="360" w:lineRule="atLeast"/>
      <w:jc w:val="both"/>
      <w:textAlignment w:val="baseline"/>
    </w:pPr>
    <w:rPr>
      <w:rFonts w:ascii="宋体" w:hAnsi="Courier New"/>
      <w:kern w:val="2"/>
      <w:sz w:val="21"/>
      <w:szCs w:val="20"/>
      <w:lang w:val="en-US" w:eastAsia="zh-CN" w:bidi="ar-SA"/>
    </w:rPr>
  </w:style>
  <w:style w:type="paragraph" w:customStyle="1" w:styleId="29">
    <w:name w:val="正文文本缩进 21"/>
    <w:basedOn w:val="1"/>
    <w:qFormat/>
    <w:uiPriority w:val="0"/>
    <w:pPr>
      <w:spacing w:line="312" w:lineRule="atLeast"/>
      <w:ind w:firstLine="570"/>
      <w:jc w:val="distribute"/>
      <w:textAlignment w:val="baseline"/>
    </w:pPr>
    <w:rPr>
      <w:rFonts w:eastAsia="仿宋_GB2312"/>
      <w:sz w:val="28"/>
      <w:szCs w:val="20"/>
    </w:rPr>
  </w:style>
  <w:style w:type="paragraph" w:customStyle="1" w:styleId="30">
    <w:name w:val="_Style 5"/>
    <w:basedOn w:val="1"/>
    <w:qFormat/>
    <w:uiPriority w:val="0"/>
    <w:pPr>
      <w:spacing w:line="360" w:lineRule="auto"/>
      <w:ind w:firstLine="200"/>
    </w:pPr>
  </w:style>
  <w:style w:type="paragraph" w:customStyle="1" w:styleId="31">
    <w:name w:val="纯文本1"/>
    <w:basedOn w:val="1"/>
    <w:qFormat/>
    <w:uiPriority w:val="0"/>
    <w:rPr>
      <w:rFonts w:ascii="宋体" w:hAnsi="Courier New" w:cs="Courier New"/>
      <w:szCs w:val="21"/>
    </w:rPr>
  </w:style>
  <w:style w:type="paragraph" w:customStyle="1" w:styleId="32">
    <w:name w:val="普通(网站)1"/>
    <w:basedOn w:val="1"/>
    <w:qFormat/>
    <w:uiPriority w:val="0"/>
    <w:pPr>
      <w:spacing w:before="100" w:beforeAutospacing="1" w:after="100" w:afterAutospacing="1"/>
    </w:pPr>
    <w:rPr>
      <w:rFonts w:ascii="宋体" w:hAnsi="宋体" w:eastAsia="宋体" w:cs="宋体"/>
    </w:rPr>
  </w:style>
  <w:style w:type="character" w:customStyle="1" w:styleId="33">
    <w:name w:val="标题 1 Char"/>
    <w:link w:val="2"/>
    <w:qFormat/>
    <w:uiPriority w:val="0"/>
    <w:rPr>
      <w:rFonts w:ascii="Calibri" w:hAnsi="Calibri" w:cs="黑体"/>
      <w:b/>
      <w:bCs/>
      <w:kern w:val="44"/>
      <w:sz w:val="32"/>
      <w:szCs w:val="44"/>
    </w:rPr>
  </w:style>
  <w:style w:type="character" w:customStyle="1" w:styleId="34">
    <w:name w:val="font11"/>
    <w:basedOn w:val="25"/>
    <w:qFormat/>
    <w:uiPriority w:val="0"/>
    <w:rPr>
      <w:rFonts w:hint="default" w:ascii="Times New Roman" w:hAnsi="Times New Roman" w:cs="Times New Roman"/>
      <w:color w:val="000000"/>
      <w:sz w:val="20"/>
      <w:szCs w:val="20"/>
      <w:u w:val="none"/>
    </w:rPr>
  </w:style>
  <w:style w:type="character" w:customStyle="1" w:styleId="35">
    <w:name w:val="正文文本 Char"/>
    <w:basedOn w:val="25"/>
    <w:link w:val="3"/>
    <w:qFormat/>
    <w:uiPriority w:val="0"/>
    <w:rPr>
      <w:rFonts w:eastAsia="仿宋"/>
      <w:kern w:val="2"/>
      <w:sz w:val="24"/>
      <w:szCs w:val="24"/>
    </w:rPr>
  </w:style>
  <w:style w:type="character" w:customStyle="1" w:styleId="36">
    <w:name w:val="批注框文本 Char"/>
    <w:basedOn w:val="25"/>
    <w:link w:val="15"/>
    <w:qFormat/>
    <w:uiPriority w:val="0"/>
    <w:rPr>
      <w:rFonts w:eastAsia="仿宋"/>
      <w:kern w:val="2"/>
      <w:sz w:val="18"/>
      <w:szCs w:val="18"/>
    </w:rPr>
  </w:style>
  <w:style w:type="character" w:customStyle="1" w:styleId="37">
    <w:name w:val="页眉 Char"/>
    <w:basedOn w:val="25"/>
    <w:link w:val="17"/>
    <w:qFormat/>
    <w:uiPriority w:val="0"/>
    <w:rPr>
      <w:rFonts w:eastAsia="仿宋"/>
      <w:kern w:val="2"/>
      <w:sz w:val="18"/>
      <w:szCs w:val="24"/>
    </w:rPr>
  </w:style>
  <w:style w:type="character" w:customStyle="1" w:styleId="38">
    <w:name w:val="页脚 Char"/>
    <w:basedOn w:val="25"/>
    <w:link w:val="16"/>
    <w:qFormat/>
    <w:uiPriority w:val="99"/>
    <w:rPr>
      <w:rFonts w:eastAsia="仿宋"/>
      <w:kern w:val="2"/>
      <w:sz w:val="18"/>
      <w:szCs w:val="24"/>
    </w:rPr>
  </w:style>
  <w:style w:type="character" w:customStyle="1" w:styleId="39">
    <w:name w:val="纯文本 Char"/>
    <w:basedOn w:val="25"/>
    <w:link w:val="13"/>
    <w:qFormat/>
    <w:uiPriority w:val="0"/>
    <w:rPr>
      <w:rFonts w:ascii="宋体" w:hAnsi="Courier New" w:cs="Courier New"/>
      <w:kern w:val="2"/>
      <w:sz w:val="21"/>
      <w:szCs w:val="21"/>
    </w:rPr>
  </w:style>
  <w:style w:type="character" w:customStyle="1" w:styleId="40">
    <w:name w:val="正文1 Char1"/>
    <w:link w:val="41"/>
    <w:qFormat/>
    <w:locked/>
    <w:uiPriority w:val="0"/>
    <w:rPr>
      <w:rFonts w:ascii="宋体" w:hAnsi="宋体"/>
      <w:kern w:val="2"/>
      <w:sz w:val="28"/>
    </w:rPr>
  </w:style>
  <w:style w:type="paragraph" w:customStyle="1" w:styleId="41">
    <w:name w:val="正文1"/>
    <w:basedOn w:val="1"/>
    <w:link w:val="40"/>
    <w:qFormat/>
    <w:uiPriority w:val="0"/>
    <w:pPr>
      <w:snapToGrid w:val="0"/>
      <w:spacing w:line="500" w:lineRule="atLeast"/>
      <w:ind w:firstLine="567" w:firstLineChars="0"/>
    </w:pPr>
    <w:rPr>
      <w:rFonts w:ascii="宋体" w:hAnsi="宋体" w:eastAsia="宋体"/>
      <w:sz w:val="28"/>
      <w:szCs w:val="20"/>
    </w:rPr>
  </w:style>
  <w:style w:type="character" w:customStyle="1" w:styleId="42">
    <w:name w:val="批注框文本 Char1"/>
    <w:basedOn w:val="25"/>
    <w:semiHidden/>
    <w:qFormat/>
    <w:uiPriority w:val="99"/>
    <w:rPr>
      <w:kern w:val="2"/>
      <w:sz w:val="18"/>
      <w:szCs w:val="18"/>
    </w:rPr>
  </w:style>
  <w:style w:type="table" w:customStyle="1" w:styleId="43">
    <w:name w:val="网格型2"/>
    <w:basedOn w:val="23"/>
    <w:qFormat/>
    <w:uiPriority w:val="0"/>
    <w:rPr>
      <w:rFonts w:ascii="Calibri" w:hAnsi="Calibri"/>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4">
    <w:name w:val="网格型3"/>
    <w:basedOn w:val="23"/>
    <w:qFormat/>
    <w:uiPriority w:val="0"/>
    <w:rPr>
      <w:rFonts w:ascii="Calibri" w:hAnsi="Calibri"/>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5">
    <w:name w:val="网格型1"/>
    <w:basedOn w:val="23"/>
    <w:qFormat/>
    <w:uiPriority w:val="0"/>
    <w:rPr>
      <w:rFonts w:ascii="Calibri" w:hAnsi="Calibri"/>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6">
    <w:name w:val="网格型11"/>
    <w:basedOn w:val="23"/>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47">
    <w:name w:val="List Paragraph"/>
    <w:basedOn w:val="1"/>
    <w:qFormat/>
    <w:uiPriority w:val="99"/>
    <w:pPr>
      <w:ind w:firstLine="420"/>
    </w:pPr>
  </w:style>
  <w:style w:type="paragraph" w:customStyle="1" w:styleId="48">
    <w:name w:val="WPSOffice手动目录 1"/>
    <w:qFormat/>
    <w:uiPriority w:val="0"/>
    <w:pPr>
      <w:ind w:leftChars="0"/>
    </w:pPr>
    <w:rPr>
      <w:rFonts w:ascii="Times New Roman" w:hAnsi="Times New Roman" w:eastAsia="宋体" w:cs="Times New Roman"/>
      <w:sz w:val="20"/>
      <w:szCs w:val="20"/>
    </w:rPr>
  </w:style>
  <w:style w:type="paragraph" w:customStyle="1" w:styleId="49">
    <w:name w:val="WPSOffice手动目录 2"/>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9" Type="http://schemas.openxmlformats.org/officeDocument/2006/relationships/fontTable" Target="fontTable.xml"/><Relationship Id="rId48" Type="http://schemas.openxmlformats.org/officeDocument/2006/relationships/customXml" Target="../customXml/item2.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jpeg"/><Relationship Id="rId40" Type="http://schemas.openxmlformats.org/officeDocument/2006/relationships/image" Target="media/image32.png"/><Relationship Id="rId4" Type="http://schemas.openxmlformats.org/officeDocument/2006/relationships/endnotes" Target="endnotes.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footnotes" Target="footnotes.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12700" cap="flat" cmpd="sng" algn="ctr">
          <a:solidFill>
            <a:srgbClr val="5B9BD5">
              <a:shade val="50000"/>
            </a:srgbClr>
          </a:solidFill>
          <a:prstDash val="solid"/>
          <a:miter lim="800000"/>
        </a:ln>
      </a:spPr>
      <a:bodyPr rot="0" spcFirstLastPara="0" vertOverflow="overflow" horzOverflow="overflow" vert="horz" wrap="square" lIns="91440" tIns="45720" rIns="91440" bIns="45720" numCol="1" spcCol="0" rtlCol="0" fromWordArt="0" anchor="ctr" anchorCtr="0" forceAA="0" compatLnSpc="1">
        <a:noAutofit/>
      </a:bodyPr>
      <a:lst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8A74007-DBF6-491F-87D9-6CE96D0DC436}">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66</Pages>
  <Words>26504</Words>
  <Characters>29480</Characters>
  <Lines>316</Lines>
  <Paragraphs>89</Paragraphs>
  <TotalTime>3</TotalTime>
  <ScaleCrop>false</ScaleCrop>
  <LinksUpToDate>false</LinksUpToDate>
  <CharactersWithSpaces>30240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2020-01-08T01:05:00Z</dcterms:created>
  <dc:creator>浅笑无痕</dc:creator>
  <cp:lastModifiedBy>ADMIN</cp:lastModifiedBy>
  <cp:lastPrinted>2020-01-14T00:49:00Z</cp:lastPrinted>
  <dcterms:modified xsi:type="dcterms:W3CDTF">2023-11-03T06:50:29Z</dcterms:modified>
  <dc:title>jss</dc:title>
  <cp:revision>68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E02CC044E65C4990B9F53E9AA6749379</vt:lpwstr>
  </property>
</Properties>
</file>